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Carlos Mendez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Safety Manager, CSP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Denver, CO | carlos.mendez@email.com | (555) 017-3846 | linkedin.com/in/carlosmendez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Certified Safety Professional (CSP) with 13 years in construction and manufacturing safety, now running the safety program for a $400M-a-year commercial general contractor. Builds programs that hold up on busy sites: site-specific safety plans, subcontractor prequalification, fall protection, lift planning and energy-based hazard recognition. Coaches crews, superintendents and owner representatives in English and Spanish.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OSHA 1926 and 1910 compliance | Site-specific safety plans | Subcontractor prequalification (EMR, TRIR) | Fall protection and rescue planning | Crane and critical lift planning | Excavation and trenching safety | Incident investigation and root cause analysis | Risk assessment and JHAs | OSHA recordkeeping and ITA reporting | Safety training and toolbox talks | Silica exposure control plans | Leading indicator dashboards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Safety Manager</w:t>
      </w:r>
      <w:r>
        <w:t>, Summitgale Construction Group, Denver, CO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Cut the total recordable incident rate (TRIR) 45% in 3 years, from 2.9 to 1.6, across 4 sites and 600+ craft workers by scoring superintendents weekly on leading indicators.</w:t>
      </w:r>
    </w:p>
    <w:p>
      <w:pPr>
        <w:pStyle w:val="ListBullet"/>
        <w:spacing w:after="40"/>
      </w:pPr>
      <w:r>
        <w:rPr>
          <w:sz w:val="21"/>
        </w:rPr>
        <w:t>Led 200+ formal risk assessments for steel erection, crane picks and trenching, and closed out 60 incident investigations with verified corrective actions.</w:t>
      </w:r>
    </w:p>
    <w:p>
      <w:pPr>
        <w:pStyle w:val="ListBullet"/>
        <w:spacing w:after="40"/>
      </w:pPr>
      <w:r>
        <w:rPr>
          <w:sz w:val="21"/>
        </w:rPr>
        <w:t>Achieved 3 consecutive years with zero serious, willful or repeat OSHA citations across 4 federal OSHA inspections of company sites.</w:t>
      </w:r>
    </w:p>
    <w:p>
      <w:pPr>
        <w:pStyle w:val="ListBullet"/>
        <w:spacing w:after="40"/>
      </w:pPr>
      <w:r>
        <w:rPr>
          <w:sz w:val="21"/>
        </w:rPr>
        <w:t>Cut the experience modification rate (EMR) from 1.08 to 0.79, saving $310,000 a year in workers' compensation premiums.</w:t>
      </w:r>
    </w:p>
    <w:p>
      <w:pPr>
        <w:pStyle w:val="ListBullet"/>
        <w:spacing w:after="40"/>
      </w:pPr>
      <w:r>
        <w:rPr>
          <w:sz w:val="21"/>
        </w:rPr>
        <w:t>Trained 85 foremen and superintendents in energy-based hazard recognition, raising high-energy hazards identified in field audits from 54% to 81%.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Safety Coordinator</w:t>
      </w:r>
      <w:r>
        <w:t>, Ironmarsh Manufacturing, Aurora, CO</w:t>
      </w:r>
      <w:r>
        <w:rPr>
          <w:color w:val="5B6672"/>
        </w:rPr>
        <w:t xml:space="preserve">    2016-2021</w:t>
      </w:r>
    </w:p>
    <w:p>
      <w:pPr>
        <w:pStyle w:val="ListBullet"/>
        <w:spacing w:after="40"/>
      </w:pPr>
      <w:r>
        <w:rPr>
          <w:sz w:val="21"/>
        </w:rPr>
        <w:t>Cut lost-time injuries by 38% over 4 years by overhauling the hazard-reporting program and adding a 48-hour supervisor response standard.</w:t>
      </w:r>
    </w:p>
    <w:p>
      <w:pPr>
        <w:pStyle w:val="ListBullet"/>
        <w:spacing w:after="40"/>
      </w:pPr>
      <w:r>
        <w:rPr>
          <w:sz w:val="21"/>
        </w:rPr>
        <w:t>Delivered safety training to 350+ employees and lifted toolbox talk attendance to 96% with start-of-shift talks.</w:t>
      </w:r>
    </w:p>
    <w:p>
      <w:pPr>
        <w:pStyle w:val="ListBullet"/>
        <w:spacing w:after="40"/>
      </w:pPr>
      <w:r>
        <w:rPr>
          <w:sz w:val="21"/>
        </w:rPr>
        <w:t>Managed PPE compliance audits across 5 production lines, reaching 99% conformance.</w:t>
      </w:r>
    </w:p>
    <w:p>
      <w:pPr>
        <w:pStyle w:val="ListBullet"/>
        <w:spacing w:after="40"/>
      </w:pPr>
      <w:r>
        <w:rPr>
          <w:sz w:val="21"/>
        </w:rPr>
        <w:t>Coordinated a dust hazard analysis for the grinding and shot-blast areas and closed all 14 findings before the insurer's annual loss control survey.</w:t>
      </w:r>
    </w:p>
    <w:p>
      <w:pPr>
        <w:pStyle w:val="ListBullet"/>
        <w:spacing w:after="40"/>
      </w:pPr>
      <w:r>
        <w:rPr>
          <w:sz w:val="21"/>
        </w:rPr>
        <w:t>Separated forklift and pedestrian routes with barriers and blue spotlights, with no pedestrian strikes in the next 30 months.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Health and Safety Officer</w:t>
      </w:r>
      <w:r>
        <w:t>, Frontmesa Industrial, Colorado Springs, CO</w:t>
      </w:r>
      <w:r>
        <w:rPr>
          <w:color w:val="5B6672"/>
        </w:rPr>
        <w:t xml:space="preserve">    2013-2016</w:t>
      </w:r>
    </w:p>
    <w:p>
      <w:pPr>
        <w:pStyle w:val="ListBullet"/>
        <w:spacing w:after="40"/>
      </w:pPr>
      <w:r>
        <w:rPr>
          <w:sz w:val="21"/>
        </w:rPr>
        <w:t>Performed 500+ site inspections a year across 3 production buildings, closing 90% of findings on time through a tracked corrective action log.</w:t>
      </w:r>
    </w:p>
    <w:p>
      <w:pPr>
        <w:pStyle w:val="ListBullet"/>
        <w:spacing w:after="40"/>
      </w:pPr>
      <w:r>
        <w:rPr>
          <w:sz w:val="21"/>
        </w:rPr>
        <w:t>Investigated 40+ incidents and reduced repeat hazards by 30% through root cause analysis and monthly lessons-learned bulletins for all 3 shifts.</w:t>
      </w:r>
    </w:p>
    <w:p>
      <w:pPr>
        <w:pStyle w:val="ListBullet"/>
        <w:spacing w:after="40"/>
      </w:pPr>
      <w:r>
        <w:rPr>
          <w:sz w:val="21"/>
        </w:rPr>
        <w:t>Authored 25 standard operating procedures aligning the plant with OSHA 1910 general industry standards, including lockout/tagout and confined space entry.</w:t>
      </w:r>
    </w:p>
    <w:p>
      <w:pPr>
        <w:pStyle w:val="ListBullet"/>
        <w:spacing w:after="40"/>
      </w:pPr>
      <w:r>
        <w:rPr>
          <w:sz w:val="21"/>
        </w:rPr>
        <w:t>Ran respirator fit testing and tracked medical clearances for 90 welders, painters and blasters, with 100% on-time annual completion 3 years running.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Environmental Health, Colorado State University, 2013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Safety Professional (CSP), Board of Certified Safety Professionals, 2019</w:t>
      </w:r>
    </w:p>
    <w:p>
      <w:pPr>
        <w:spacing w:after="40" w:before="0"/>
      </w:pPr>
      <w:r>
        <w:rPr>
          <w:b w:val="0"/>
          <w:i w:val="0"/>
          <w:sz w:val="21"/>
        </w:rPr>
        <w:t>NEBOSH International General Certificate in Occupational Health and Safety, 2018</w:t>
      </w:r>
    </w:p>
    <w:p>
      <w:pPr>
        <w:spacing w:after="40" w:before="0"/>
      </w:pPr>
      <w:r>
        <w:rPr>
          <w:b w:val="0"/>
          <w:i w:val="0"/>
          <w:sz w:val="21"/>
        </w:rPr>
        <w:t>OSHA 30-Hour Construction training card, 2021; OSHA 500 authorized construction Outreach trainer, 2025</w:t>
      </w:r>
    </w:p>
    <w:p>
      <w:pPr>
        <w:spacing w:after="40" w:before="0"/>
      </w:pPr>
      <w:r>
        <w:rPr>
          <w:b w:val="0"/>
          <w:i w:val="0"/>
          <w:sz w:val="21"/>
        </w:rPr>
        <w:t>First Aid/CPR/AED, American Red Cross,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Procore | Highwire | SafetyCulture | OSHA Injury Tracking Application | Microsoft Power BI and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$85M occupied-hospital expansion, 2023-2025: wrote the site-specific safety plan, coordinated infection control risk assessments and finished 410,000 work hours with no lost-time injuries</w:t>
      </w:r>
    </w:p>
    <w:p>
      <w:pPr>
        <w:pStyle w:val="ListBullet"/>
        <w:spacing w:after="40"/>
      </w:pPr>
      <w:r>
        <w:rPr>
          <w:sz w:val="21"/>
        </w:rPr>
        <w:t>Subcontractor prequalification in Highwire: screens EMR, TRIR and written programs, and removed 6 high-risk trade partners before mobilization</w:t>
      </w:r>
    </w:p>
    <w:p>
      <w:pPr>
        <w:pStyle w:val="ListBullet"/>
        <w:spacing w:after="40"/>
      </w:pPr>
      <w:r>
        <w:rPr>
          <w:sz w:val="21"/>
        </w:rPr>
        <w:t>Company silica exposure control plan for concrete cutting, coring and grinding on all 4 sites, built on the Table 1 controls in OSHA 1926.1153</w:t>
      </w:r>
    </w:p>
    <w:p>
      <w:pPr>
        <w:pStyle w:val="ListBullet"/>
        <w:spacing w:after="40"/>
      </w:pPr>
      <w:r>
        <w:rPr>
          <w:sz w:val="21"/>
        </w:rPr>
        <w:t>Trench and excavation program: daily competent person inspections logged in Procore for every excavation, with a protective system in every trench 5 feet or deeper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TRAINING AND SPEAKING</w:t>
      </w:r>
    </w:p>
    <w:p>
      <w:pPr>
        <w:pStyle w:val="ListBullet"/>
        <w:spacing w:after="40"/>
      </w:pPr>
      <w:r>
        <w:rPr>
          <w:sz w:val="21"/>
        </w:rPr>
        <w:t>Taught 4 OSHA 30-Hour Construction courses to 70 foremen and project engineers, 2025-2026</w:t>
      </w:r>
    </w:p>
    <w:p>
      <w:pPr>
        <w:pStyle w:val="ListBullet"/>
        <w:spacing w:after="40"/>
      </w:pPr>
      <w:r>
        <w:rPr>
          <w:sz w:val="21"/>
        </w:rPr>
        <w:t>Built a bilingual (English and Spanish) library of 52 weekly toolbox talks now used on every company site</w:t>
      </w:r>
    </w:p>
    <w:p>
      <w:pPr>
        <w:pStyle w:val="ListBullet"/>
        <w:spacing w:after="40"/>
      </w:pPr>
      <w:r>
        <w:rPr>
          <w:sz w:val="21"/>
        </w:rPr>
        <w:t>Presenter, regional construction safety conference, 2025: 'What superintendents need from a safety manager'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Professional member, American Society of Safety Professionals (ASSP), since 2014</w:t>
      </w:r>
    </w:p>
    <w:p>
      <w:pPr>
        <w:pStyle w:val="ListBullet"/>
        <w:spacing w:after="40"/>
      </w:pPr>
      <w:r>
        <w:rPr>
          <w:sz w:val="21"/>
        </w:rPr>
        <w:t>Safety and health committee member, regional chapter of the Associated General Contractors (AGC), 2022-Present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Manager (Construction and Manufacturing)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