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Lorena Batista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Laboratory Manager and Senior Research Assistant, M.S.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Pittsburgh, PA | lorena.batista@email.com | (555) 018-6631 | linkedin.com/in/lorenabatista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Laboratory manager and senior research assistant with 14 years in immunology and cell biology across academic and biotech labs. Runs daily operations for a 16-person NIH-funded lab: purchasing, IACUC and Institutional Biosafety Committee (IBC) protocols, a transgenic mouse colony and BSL-2 compliance. Supervises 2 research technicians. Hands-on in spectral flow cytometry, cell sorting, in vivo models and cytokine assays.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Lab operations and purchasing | Budget tracking and grant reconciliation | IACUC and IBC protocol management | Mouse colony management and genotyping | Spectral and conventional flow cytometry | Cell sorting (BSL-2) | In vivo tumor and infection models | Primary immune cell isolation and culture | ELISA and multiplex cytokine assays | Biosafety and chemical hygiene inspections | Staff onboarding and training | NIH data management and sharing | Equipment maintenance and service contracts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Laboratory Manager and Senior Research Assistant</w:t>
      </w:r>
      <w:r>
        <w:t>, University of Pittsburgh School of Medicine, Department of Immunology, Pittsburgh, PA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Manage a $420K annual supplies and equipment budget, reconciling grant charges monthly and closing each year within 2% of plan.</w:t>
      </w:r>
    </w:p>
    <w:p>
      <w:pPr>
        <w:pStyle w:val="ListBullet"/>
        <w:spacing w:after="40"/>
      </w:pPr>
      <w:r>
        <w:rPr>
          <w:sz w:val="21"/>
        </w:rPr>
        <w:t>Maintain 4 IACUC protocols and an IBC registration through 30+ amendments, with zero findings in 12 semiannual inspections.</w:t>
      </w:r>
    </w:p>
    <w:p>
      <w:pPr>
        <w:pStyle w:val="ListBullet"/>
        <w:spacing w:after="40"/>
      </w:pPr>
      <w:r>
        <w:rPr>
          <w:sz w:val="21"/>
        </w:rPr>
        <w:t>Oversee a 650-cage colony of 22 transgenic and knockout strains in SoftMouse.NET, cutting per diem costs 18%.</w:t>
      </w:r>
    </w:p>
    <w:p>
      <w:pPr>
        <w:pStyle w:val="ListBullet"/>
        <w:spacing w:after="40"/>
      </w:pPr>
      <w:r>
        <w:rPr>
          <w:sz w:val="21"/>
        </w:rPr>
        <w:t>Run 25-color spectral panels on a Cytek Aurora and sort cells on a BD FACSAria Fusion for 4 projects, and own the lab's panel SOPs.</w:t>
      </w:r>
    </w:p>
    <w:p>
      <w:pPr>
        <w:pStyle w:val="ListBullet"/>
        <w:spacing w:after="40"/>
      </w:pPr>
      <w:r>
        <w:rPr>
          <w:sz w:val="21"/>
        </w:rPr>
        <w:t>Trained 40+ graduate students, postdocs and undergraduates on biosafety, mouse handling, flow cytometry and notebooks.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Associate II, Immuno-Oncology</w:t>
      </w:r>
      <w:r>
        <w:t>, Quarrystone Biosciences, Pittsburgh, PA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Developed and qualified 6 cell-based potency assays for a T cell engager program and transferred 3 to a CRO.</w:t>
      </w:r>
    </w:p>
    <w:p>
      <w:pPr>
        <w:pStyle w:val="ListBullet"/>
        <w:spacing w:after="40"/>
      </w:pPr>
      <w:r>
        <w:rPr>
          <w:sz w:val="21"/>
        </w:rPr>
        <w:t>Ran MSD multiplex cytokine assays on 2,000+ mouse study samples, returning results within 5 business days.</w:t>
      </w:r>
    </w:p>
    <w:p>
      <w:pPr>
        <w:pStyle w:val="ListBullet"/>
        <w:spacing w:after="40"/>
      </w:pPr>
      <w:r>
        <w:rPr>
          <w:sz w:val="21"/>
        </w:rPr>
        <w:t>Executed 30+ syngeneic tumor efficacy studies, dosing, measuring tumors and collecting tissues under IACUC protocols.</w:t>
      </w:r>
    </w:p>
    <w:p>
      <w:pPr>
        <w:pStyle w:val="ListBullet"/>
        <w:spacing w:after="40"/>
      </w:pPr>
      <w:r>
        <w:rPr>
          <w:sz w:val="21"/>
        </w:rPr>
        <w:t>Documented experiments in Benchling to data-integrity standards and peer-reviewed 2 colleagues' notebooks weekly.</w:t>
      </w:r>
    </w:p>
    <w:p>
      <w:pPr>
        <w:pStyle w:val="ListBullet"/>
        <w:spacing w:after="40"/>
      </w:pPr>
      <w:r>
        <w:rPr>
          <w:sz w:val="21"/>
        </w:rPr>
        <w:t>Presented assay results at monthly program meetings, adding data used to set the lead candidate's dosing schedule.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Assistant II</w:t>
      </w:r>
      <w:r>
        <w:t>, Case Western Reserve University School of Medicine, Cleveland, OH</w:t>
      </w:r>
      <w:r>
        <w:rPr>
          <w:color w:val="5B6672"/>
        </w:rPr>
        <w:t xml:space="preserve">    2013-2016</w:t>
      </w:r>
    </w:p>
    <w:p>
      <w:pPr>
        <w:pStyle w:val="ListBullet"/>
        <w:spacing w:after="40"/>
      </w:pPr>
      <w:r>
        <w:rPr>
          <w:sz w:val="21"/>
        </w:rPr>
        <w:t>Isolated and cultured primary T cells, macrophages and dendritic cells from mouse spleen and bone marrow for 3 projects.</w:t>
      </w:r>
    </w:p>
    <w:p>
      <w:pPr>
        <w:pStyle w:val="ListBullet"/>
        <w:spacing w:after="40"/>
      </w:pPr>
      <w:r>
        <w:rPr>
          <w:sz w:val="21"/>
        </w:rPr>
        <w:t>Genotyped 3,000+ mice by PCR, and breeding records let the lab retire 2 redundant strains and free 60 cages.</w:t>
      </w:r>
    </w:p>
    <w:p>
      <w:pPr>
        <w:pStyle w:val="ListBullet"/>
        <w:spacing w:after="40"/>
      </w:pPr>
      <w:r>
        <w:rPr>
          <w:sz w:val="21"/>
        </w:rPr>
        <w:t>Performed ELISA, western blots and qPCR that produced figure data for 2 manuscripts and an NIH R01 renewal.</w:t>
      </w:r>
    </w:p>
    <w:p>
      <w:pPr>
        <w:pStyle w:val="ListBullet"/>
        <w:spacing w:after="40"/>
      </w:pPr>
      <w:r>
        <w:rPr>
          <w:sz w:val="21"/>
        </w:rPr>
        <w:t>Planned the lab's move to a new building, relocating 5 freezers and 40 instruments with no sample loss.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Technician</w:t>
      </w:r>
      <w:r>
        <w:t>, Brackenmoor Bioanalytical, Cleveland, OH</w:t>
      </w:r>
      <w:r>
        <w:rPr>
          <w:color w:val="5B6672"/>
        </w:rPr>
        <w:t xml:space="preserve">    2012-2013</w:t>
      </w:r>
    </w:p>
    <w:p>
      <w:pPr>
        <w:pStyle w:val="ListBullet"/>
        <w:spacing w:after="40"/>
      </w:pPr>
      <w:r>
        <w:rPr>
          <w:sz w:val="21"/>
        </w:rPr>
        <w:t>Ran ELISA and cell viability assays for client studies with full documentation, delivering 99% of reports on time.</w:t>
      </w:r>
    </w:p>
    <w:p>
      <w:pPr>
        <w:pStyle w:val="ListBullet"/>
        <w:spacing w:after="40"/>
      </w:pPr>
      <w:r>
        <w:rPr>
          <w:sz w:val="21"/>
        </w:rPr>
        <w:t>Calibrated pipettes, balances and plate readers monthly and kept equipment logs ready for client audits.</w:t>
      </w:r>
    </w:p>
    <w:p>
      <w:pPr>
        <w:pStyle w:val="ListBullet"/>
        <w:spacing w:after="40"/>
      </w:pPr>
      <w:r>
        <w:rPr>
          <w:sz w:val="21"/>
        </w:rPr>
        <w:t>Received, logged and stored 4,000+ client samples in a LIMS with complete chain-of-custody records.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 in Biology, Cleveland State University, 2016</w:t>
      </w:r>
    </w:p>
    <w:p>
      <w:pPr>
        <w:spacing w:after="40" w:before="0"/>
      </w:pPr>
      <w:r>
        <w:rPr>
          <w:b w:val="0"/>
          <w:i w:val="0"/>
          <w:sz w:val="21"/>
        </w:rPr>
        <w:t>B.S. in Biology, The Pennsylvania State University,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Assistant Laboratory Animal Technician (ALAT), AALAS, 2015</w:t>
      </w:r>
    </w:p>
    <w:p>
      <w:pPr>
        <w:spacing w:after="40" w:before="0"/>
      </w:pPr>
      <w:r>
        <w:rPr>
          <w:b w:val="0"/>
          <w:i w:val="0"/>
          <w:sz w:val="21"/>
        </w:rPr>
        <w:t>CITI Program: Working with the IACUC and Working with Mice in Research Settings, 2025</w:t>
      </w:r>
    </w:p>
    <w:p>
      <w:pPr>
        <w:spacing w:after="40" w:before="0"/>
      </w:pPr>
      <w:r>
        <w:rPr>
          <w:b w:val="0"/>
          <w:i w:val="0"/>
          <w:sz w:val="21"/>
        </w:rPr>
        <w:t>Shipping infectious substances and biological materials (IATA),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Cytek Aurora | BD FACSAria Fusion | FlowJo | GraphPad Prism | SoftMouse.NET | Benchling | Quartzy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PUBLICATIONS (CO-AUTHOR ON 11 PEER-REVIEWED PAPERS)</w:t>
      </w:r>
    </w:p>
    <w:p>
      <w:pPr>
        <w:pStyle w:val="ListBullet"/>
        <w:spacing w:after="40"/>
      </w:pPr>
      <w:r>
        <w:rPr>
          <w:sz w:val="21"/>
        </w:rPr>
        <w:t>Velmoth J, Batista L, Draycliffe D, Pellingham M. Tissue-resident memory T cells limit influenza reinfection in the lung. Mucosal Immunol. 2025;18(2):412-423.</w:t>
      </w:r>
    </w:p>
    <w:p>
      <w:pPr>
        <w:pStyle w:val="ListBullet"/>
        <w:spacing w:after="40"/>
      </w:pPr>
      <w:r>
        <w:rPr>
          <w:sz w:val="21"/>
        </w:rPr>
        <w:t>Batista L, Pellingham M. A spectral flow cytometry panel for mouse lung T cell subsets. Cytometry A. 2023;103(6):498-504.</w:t>
      </w:r>
    </w:p>
    <w:p>
      <w:pPr>
        <w:pStyle w:val="ListBullet"/>
        <w:spacing w:after="40"/>
      </w:pPr>
      <w:r>
        <w:rPr>
          <w:sz w:val="21"/>
        </w:rPr>
        <w:t>Pellingham M, Sarnowe R, Batista L, Draycliffe D. IL-7 signaling sustains memory CD8 T cells after viral clearance. J Immunol. 2021;207(4):1102-1111.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GRANT AND DATA SUPPORT</w:t>
      </w:r>
    </w:p>
    <w:p>
      <w:pPr>
        <w:pStyle w:val="ListBullet"/>
        <w:spacing w:after="40"/>
      </w:pPr>
      <w:r>
        <w:rPr>
          <w:sz w:val="21"/>
        </w:rPr>
        <w:t>Drafted NIH Data Management and Sharing Plans for 3 applications and deposited 5 datasets in public repositories</w:t>
      </w:r>
    </w:p>
    <w:p>
      <w:pPr>
        <w:pStyle w:val="ListBullet"/>
        <w:spacing w:after="40"/>
      </w:pPr>
      <w:r>
        <w:rPr>
          <w:sz w:val="21"/>
        </w:rPr>
        <w:t>Compiled other support, biosketch updates and progress report (RPPR) data for 2 NIH renewals</w:t>
      </w:r>
    </w:p>
    <w:p>
      <w:pPr>
        <w:pStyle w:val="ListBullet"/>
        <w:spacing w:after="40"/>
      </w:pPr>
      <w:r>
        <w:rPr>
          <w:sz w:val="21"/>
        </w:rPr>
        <w:t>Assembled usage data and vendor quotes for a funded NIH S10 shared instrumentation application,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COMMITTEES</w:t>
      </w:r>
    </w:p>
    <w:p>
      <w:pPr>
        <w:pStyle w:val="ListBullet"/>
        <w:spacing w:after="40"/>
      </w:pPr>
      <w:r>
        <w:rPr>
          <w:sz w:val="21"/>
        </w:rPr>
        <w:t>Department Safety Committee, lab representative, 2021-Present: leads quarterly walkthroughs of 9 labs</w:t>
      </w:r>
    </w:p>
    <w:p>
      <w:pPr>
        <w:pStyle w:val="ListBullet"/>
        <w:spacing w:after="40"/>
      </w:pPr>
      <w:r>
        <w:rPr>
          <w:sz w:val="21"/>
        </w:rPr>
        <w:t>Flow Cytometry Core user advisory group, 2023-Present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Research Assistant and Lab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