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i w:val="0"/>
          <w:sz w:val="36"/>
        </w:rPr>
        <w:t>Leila Farahani</w:t>
      </w:r>
    </w:p>
    <w:p>
      <w:pPr>
        <w:spacing w:after="40" w:before="0"/>
      </w:pPr>
      <w:r>
        <w:rPr>
          <w:b/>
          <w:i w:val="0"/>
          <w:color w:val="1D7A53"/>
          <w:sz w:val="23"/>
        </w:rPr>
        <w:t>Clinical Research Assistant, CCRP</w:t>
      </w:r>
    </w:p>
    <w:p>
      <w:pPr>
        <w:spacing w:after="160" w:before="0"/>
      </w:pPr>
      <w:r>
        <w:rPr>
          <w:b w:val="0"/>
          <w:i w:val="0"/>
          <w:color w:val="5B6672"/>
          <w:sz w:val="19"/>
        </w:rPr>
        <w:t>Houston, TX | leila.farahani@email.com | (555) 015-2207 | linkedin.com/in/leilafarahani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SUMMARY</w:t>
      </w:r>
    </w:p>
    <w:p>
      <w:pPr>
        <w:spacing w:after="80" w:before="0"/>
      </w:pPr>
      <w:r>
        <w:rPr>
          <w:b w:val="0"/>
          <w:i w:val="0"/>
          <w:sz w:val="21"/>
        </w:rPr>
        <w:t>Clinical research assistant with 4 years on Phase I-III oncology trials plus cardiology registry and device studies at Houston medical centers. Handles pre-screening, delegated consent, sample processing, EDC entry and monitoring visit prep. SOCRA-certified CCRP trained in ICH E6(R3) GCP, fluent in Epic, OnCore, Medidata Rave and REDCap.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SKILLS</w:t>
      </w:r>
    </w:p>
    <w:p>
      <w:pPr>
        <w:spacing w:after="80" w:before="0"/>
      </w:pPr>
      <w:r>
        <w:rPr>
          <w:b w:val="0"/>
          <w:i w:val="0"/>
          <w:sz w:val="21"/>
        </w:rPr>
        <w:t>Eligibility pre-screening | Informed consent (delegated) | Visit scheduling and windows | EDC entry and query resolution | PK and biomarker processing | IATA specimen shipping | Regulatory binders | AE and deviation documentation | Monitoring visit prep | ICH E6(R3) GCP and HIPAA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EXPERIENCE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Clinical Research Assistant II, Oncology</w:t>
      </w:r>
      <w:r>
        <w:t>, Tallowbrook Cancer Center, Houston, TX</w:t>
      </w:r>
      <w:r>
        <w:rPr>
          <w:color w:val="5B6672"/>
        </w:rPr>
        <w:t xml:space="preserve">    2024-Present</w:t>
      </w:r>
    </w:p>
    <w:p>
      <w:pPr>
        <w:pStyle w:val="ListBullet"/>
        <w:spacing w:after="40"/>
      </w:pPr>
      <w:r>
        <w:rPr>
          <w:sz w:val="21"/>
        </w:rPr>
        <w:t>Support 14 Phase I-III oncology trials for 3 investigators, pre-screening 60+ clinic charts a week in Epic.</w:t>
      </w:r>
    </w:p>
    <w:p>
      <w:pPr>
        <w:pStyle w:val="ListBullet"/>
        <w:spacing w:after="40"/>
      </w:pPr>
      <w:r>
        <w:rPr>
          <w:sz w:val="21"/>
        </w:rPr>
        <w:t>Consented 85 participants into biospecimen banking and minimal-risk studies as delegated by the PI, with zero consent deviations in 2 internal QA audits.</w:t>
      </w:r>
    </w:p>
    <w:p>
      <w:pPr>
        <w:pStyle w:val="ListBullet"/>
        <w:spacing w:after="40"/>
      </w:pPr>
      <w:r>
        <w:rPr>
          <w:sz w:val="21"/>
        </w:rPr>
        <w:t>Processed, centrifuged and shipped 1,200+ PK and biomarker samples on dry ice under IATA Category B rules, with zero shipments rejected by central labs.</w:t>
      </w:r>
    </w:p>
    <w:p>
      <w:pPr>
        <w:pStyle w:val="ListBullet"/>
        <w:spacing w:after="40"/>
      </w:pPr>
      <w:r>
        <w:rPr>
          <w:sz w:val="21"/>
        </w:rPr>
        <w:t>Enter visit data in Medidata Rave within 3 business days and cut open queries from 140 to 25 in one quarter.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Clinical Research Assistant I, Cardiology</w:t>
      </w:r>
      <w:r>
        <w:t>, Sabinewood Heart and Vascular Institute, Houston, TX</w:t>
      </w:r>
      <w:r>
        <w:rPr>
          <w:color w:val="5B6672"/>
        </w:rPr>
        <w:t xml:space="preserve">    2022-2024</w:t>
      </w:r>
    </w:p>
    <w:p>
      <w:pPr>
        <w:pStyle w:val="ListBullet"/>
        <w:spacing w:after="40"/>
      </w:pPr>
      <w:r>
        <w:rPr>
          <w:sz w:val="21"/>
        </w:rPr>
        <w:t>Scheduled and tracked 900+ visits for a heart failure registry and a device trial in OnCore, keeping 97% of visits inside protocol windows.</w:t>
      </w:r>
    </w:p>
    <w:p>
      <w:pPr>
        <w:pStyle w:val="ListBullet"/>
        <w:spacing w:after="40"/>
      </w:pPr>
      <w:r>
        <w:rPr>
          <w:sz w:val="21"/>
        </w:rPr>
        <w:t>Built REDCap surveys with automated reminders for 6-month follow-ups, raising retention from 81% to 93%.</w:t>
      </w:r>
    </w:p>
    <w:p>
      <w:pPr>
        <w:pStyle w:val="ListBullet"/>
        <w:spacing w:after="40"/>
      </w:pPr>
      <w:r>
        <w:rPr>
          <w:sz w:val="21"/>
        </w:rPr>
        <w:t>Maintained regulatory binders and delegation logs, and the site passed a 2023 sponsor audit with no findings.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Medical Scribe, Emergency Department</w:t>
      </w:r>
      <w:r>
        <w:t>, Pecanmoor Medical Center, Houston, TX</w:t>
      </w:r>
      <w:r>
        <w:rPr>
          <w:color w:val="5B6672"/>
        </w:rPr>
        <w:t xml:space="preserve">    2020-2022</w:t>
      </w:r>
    </w:p>
    <w:p>
      <w:pPr>
        <w:pStyle w:val="ListBullet"/>
        <w:spacing w:after="40"/>
      </w:pPr>
      <w:r>
        <w:rPr>
          <w:sz w:val="21"/>
        </w:rPr>
        <w:t>Documented histories, exams and orders in Epic in real time for 25-30 emergency patients per shift.</w:t>
      </w:r>
    </w:p>
    <w:p>
      <w:pPr>
        <w:pStyle w:val="ListBullet"/>
        <w:spacing w:after="40"/>
      </w:pPr>
      <w:r>
        <w:rPr>
          <w:sz w:val="21"/>
        </w:rPr>
        <w:t>Built the medical terminology and chart navigation skills that now speed oncology eligibility pre-screening.</w:t>
      </w:r>
    </w:p>
    <w:p>
      <w:pPr>
        <w:pStyle w:val="ListBullet"/>
        <w:spacing w:after="40"/>
      </w:pPr>
      <w:r>
        <w:rPr>
          <w:sz w:val="21"/>
        </w:rPr>
        <w:t>Worked 24 hours a week while completing a biology degree and was promoted to lead scribe in 14 months.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EDUCATION</w:t>
      </w:r>
    </w:p>
    <w:p>
      <w:pPr>
        <w:spacing w:after="40" w:before="0"/>
      </w:pPr>
      <w:r>
        <w:rPr>
          <w:b w:val="0"/>
          <w:i w:val="0"/>
          <w:sz w:val="21"/>
        </w:rPr>
        <w:t>B.S. in Biology, University of Houston, 2022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CERTIFICATIONS</w:t>
      </w:r>
    </w:p>
    <w:p>
      <w:pPr>
        <w:spacing w:after="40" w:before="0"/>
      </w:pPr>
      <w:r>
        <w:rPr>
          <w:b w:val="0"/>
          <w:i w:val="0"/>
          <w:sz w:val="21"/>
        </w:rPr>
        <w:t>Certified Clinical Research Professional (CCRP), SOCRA, 2025 · CITI GCP, 2025 · IATA shipping, 2026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LANGUAGES AND AFFILIATIONS</w:t>
      </w:r>
    </w:p>
    <w:p>
      <w:pPr>
        <w:pStyle w:val="ListBullet"/>
        <w:spacing w:after="40"/>
      </w:pPr>
      <w:r>
        <w:rPr>
          <w:sz w:val="21"/>
        </w:rPr>
        <w:t>Persian (Farsi), fluent: supports Farsi-speaking participants with IRB-approved translated consent forms</w:t>
      </w:r>
    </w:p>
    <w:p>
      <w:pPr>
        <w:pStyle w:val="ListBullet"/>
        <w:spacing w:after="40"/>
      </w:pPr>
      <w:r>
        <w:rPr>
          <w:sz w:val="21"/>
        </w:rPr>
        <w:t>Member, Society of Clinical Research Associates (SOCRA)</w:t>
      </w:r>
    </w:p>
    <w:sectPr w:rsidR="00FC693F" w:rsidRPr="0006063C" w:rsidSect="00034616">
      <w:footerReference w:type="default" r:id="rId9"/>
      <w:pgSz w:w="12240" w:h="15840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Resume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Clinical Research Assistant (Clinical Trials) resume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