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Hana Takahashi</w:t>
      </w:r>
    </w:p>
    <w:p>
      <w:pPr>
        <w:spacing w:after="40" w:before="0"/>
      </w:pPr>
      <w:r>
        <w:rPr>
          <w:b/>
          <w:i w:val="0"/>
          <w:color w:val="1D7A53"/>
          <w:sz w:val="23"/>
        </w:rPr>
        <w:t>Competitive Intelligence Analyst</w:t>
      </w:r>
    </w:p>
    <w:p>
      <w:pPr>
        <w:spacing w:after="160" w:before="0"/>
      </w:pPr>
      <w:r>
        <w:rPr>
          <w:b w:val="0"/>
          <w:i w:val="0"/>
          <w:color w:val="5B6672"/>
          <w:sz w:val="19"/>
        </w:rPr>
        <w:t>Austin, TX | hana.takahashi@email.com | (555) 017-2093 | linkedin.com/in/hanatakahashi</w:t>
      </w:r>
    </w:p>
    <w:p>
      <w:pPr>
        <w:spacing w:after="60" w:before="200"/>
      </w:pPr>
      <w:r>
        <w:rPr>
          <w:b/>
          <w:i w:val="0"/>
          <w:color w:val="1D7A53"/>
          <w:sz w:val="21"/>
        </w:rPr>
        <w:t>PROFESSIONAL SUMMARY</w:t>
      </w:r>
    </w:p>
    <w:p>
      <w:pPr>
        <w:spacing w:after="80" w:before="0"/>
      </w:pPr>
      <w:r>
        <w:rPr>
          <w:b w:val="0"/>
          <w:i w:val="0"/>
          <w:sz w:val="21"/>
        </w:rPr>
        <w:t>Competitive intelligence analyst with 4 years of B2B software research for sales, product and executive audiences. Blends desk research, SEC filings, win-loss and expert interviews and buyer surveys into one evidence base, and writes quarterly landscape reports that leadership uses in annual planning. Gathers intelligence ethically from public sources, buyers and industry experts.</w:t>
      </w:r>
    </w:p>
    <w:p>
      <w:pPr>
        <w:spacing w:after="60" w:before="200"/>
      </w:pPr>
      <w:r>
        <w:rPr>
          <w:b/>
          <w:i w:val="0"/>
          <w:color w:val="1D7A53"/>
          <w:sz w:val="21"/>
        </w:rPr>
        <w:t>SKILLS</w:t>
      </w:r>
    </w:p>
    <w:p>
      <w:pPr>
        <w:spacing w:after="80" w:before="0"/>
      </w:pPr>
      <w:r>
        <w:rPr>
          <w:b w:val="0"/>
          <w:i w:val="0"/>
          <w:sz w:val="21"/>
        </w:rPr>
        <w:t>Competitive landscape analysis | Win-loss interviews | Pricing and packaging research | Desk research and SEC filings | Market sizing (TAM, SAM, SOM) | Battlecards (Klue) | B2B survey design | Salesforce, Gong and SQL | Expert network calls | Executive briefings</w:t>
      </w:r>
    </w:p>
    <w:p>
      <w:pPr>
        <w:spacing w:after="60" w:before="200"/>
      </w:pPr>
      <w:r>
        <w:rPr>
          <w:b/>
          <w:i w:val="0"/>
          <w:color w:val="1D7A53"/>
          <w:sz w:val="21"/>
        </w:rPr>
        <w:t>PROFESSIONAL EXPERIENCE</w:t>
      </w:r>
    </w:p>
    <w:p>
      <w:pPr>
        <w:spacing w:after="20" w:before="0"/>
      </w:pPr>
      <w:r>
        <w:rPr>
          <w:b w:val="0"/>
          <w:i w:val="0"/>
          <w:sz w:val="21"/>
        </w:rPr>
      </w:r>
      <w:r>
        <w:rPr>
          <w:b/>
        </w:rPr>
        <w:t>Competitive Intelligence Analyst</w:t>
      </w:r>
      <w:r>
        <w:t>, Lavaca Cloud Systems, Austin, TX</w:t>
      </w:r>
      <w:r>
        <w:rPr>
          <w:color w:val="5B6672"/>
        </w:rPr>
        <w:t xml:space="preserve">    2024-Present</w:t>
      </w:r>
    </w:p>
    <w:p>
      <w:pPr>
        <w:pStyle w:val="ListBullet"/>
        <w:spacing w:after="40"/>
      </w:pPr>
      <w:r>
        <w:rPr>
          <w:sz w:val="21"/>
        </w:rPr>
        <w:t>Track pricing, packaging and release notes for 22 competitors in a monthly report read by 150+ staff.</w:t>
      </w:r>
    </w:p>
    <w:p>
      <w:pPr>
        <w:pStyle w:val="ListBullet"/>
        <w:spacing w:after="40"/>
      </w:pPr>
      <w:r>
        <w:rPr>
          <w:sz w:val="21"/>
        </w:rPr>
        <w:t>Run 40 win-loss interviews a year with customers and lost prospects, surfacing an onboarding gap that product closed within 2 releases.</w:t>
      </w:r>
    </w:p>
    <w:p>
      <w:pPr>
        <w:pStyle w:val="ListBullet"/>
        <w:spacing w:after="40"/>
      </w:pPr>
      <w:r>
        <w:rPr>
          <w:sz w:val="21"/>
        </w:rPr>
        <w:t>Built 18 competitor battlecards with sales enablement, helping lift the win rate against the top rival from 31% to 39% in 4 quarters.</w:t>
      </w:r>
    </w:p>
    <w:p>
      <w:pPr>
        <w:pStyle w:val="ListBullet"/>
        <w:spacing w:after="40"/>
      </w:pPr>
      <w:r>
        <w:rPr>
          <w:sz w:val="21"/>
        </w:rPr>
        <w:t>Sized a mid-market healthcare segment from public filings, trade data and 12 expert calls, supporting the 2025 decision to enter it.</w:t>
      </w:r>
    </w:p>
    <w:p>
      <w:pPr>
        <w:spacing w:after="20" w:before="0"/>
      </w:pPr>
      <w:r>
        <w:rPr>
          <w:b w:val="0"/>
          <w:i w:val="0"/>
          <w:sz w:val="21"/>
        </w:rPr>
      </w:r>
      <w:r>
        <w:rPr>
          <w:b/>
        </w:rPr>
        <w:t>Market Research Analyst</w:t>
      </w:r>
      <w:r>
        <w:t>, Tarrowby Research Group, Austin, TX</w:t>
      </w:r>
      <w:r>
        <w:rPr>
          <w:color w:val="5B6672"/>
        </w:rPr>
        <w:t xml:space="preserve">    2022-2024</w:t>
      </w:r>
    </w:p>
    <w:p>
      <w:pPr>
        <w:pStyle w:val="ListBullet"/>
        <w:spacing w:after="40"/>
      </w:pPr>
      <w:r>
        <w:rPr>
          <w:sz w:val="21"/>
        </w:rPr>
        <w:t>Wrote 14 industry reports on fintech and HR software markets using company filings, earnings calls and 300+ job posting records.</w:t>
      </w:r>
    </w:p>
    <w:p>
      <w:pPr>
        <w:pStyle w:val="ListBullet"/>
        <w:spacing w:after="40"/>
      </w:pPr>
      <w:r>
        <w:rPr>
          <w:sz w:val="21"/>
        </w:rPr>
        <w:t>Built a 60-vendor feature database in Airtable, cutting report preparation from 2 weeks to 4 days.</w:t>
      </w:r>
    </w:p>
    <w:p>
      <w:pPr>
        <w:pStyle w:val="ListBullet"/>
        <w:spacing w:after="40"/>
      </w:pPr>
      <w:r>
        <w:rPr>
          <w:sz w:val="21"/>
        </w:rPr>
        <w:t>Fielded 6 surveys of 200-400 IT decision-makers through panel vendors, removing 12% of responses as fraudulent with layered quality checks.</w:t>
      </w:r>
    </w:p>
    <w:p>
      <w:pPr>
        <w:spacing w:after="20" w:before="0"/>
      </w:pPr>
      <w:r>
        <w:rPr>
          <w:b w:val="0"/>
          <w:i w:val="0"/>
          <w:sz w:val="21"/>
        </w:rPr>
      </w:r>
      <w:r>
        <w:rPr>
          <w:b/>
        </w:rPr>
        <w:t>Sales Development Representative</w:t>
      </w:r>
      <w:r>
        <w:t>, Oltorf Technologies, Austin, TX</w:t>
      </w:r>
      <w:r>
        <w:rPr>
          <w:color w:val="5B6672"/>
        </w:rPr>
        <w:t xml:space="preserve">    2021-2022</w:t>
      </w:r>
    </w:p>
    <w:p>
      <w:pPr>
        <w:pStyle w:val="ListBullet"/>
        <w:spacing w:after="40"/>
      </w:pPr>
      <w:r>
        <w:rPr>
          <w:sz w:val="21"/>
        </w:rPr>
        <w:t>Booked 120+ qualified meetings in 12 months by researching prospects' technology stacks, hiring signals, funding news and recent leadership changes.</w:t>
      </w:r>
    </w:p>
    <w:p>
      <w:pPr>
        <w:pStyle w:val="ListBullet"/>
        <w:spacing w:after="40"/>
      </w:pPr>
      <w:r>
        <w:rPr>
          <w:sz w:val="21"/>
        </w:rPr>
        <w:t>Logged competitor mentions and objections from 2,000+ sales calls in a shared tracker that seeded the company's first battlecards.</w:t>
      </w:r>
    </w:p>
    <w:p>
      <w:pPr>
        <w:pStyle w:val="ListBullet"/>
        <w:spacing w:after="40"/>
      </w:pPr>
      <w:r>
        <w:rPr>
          <w:sz w:val="21"/>
        </w:rPr>
        <w:t>Ranked in the top 3 of 14 representatives for meetings booked in 3 of 4 quarters.</w:t>
      </w:r>
    </w:p>
    <w:p>
      <w:pPr>
        <w:spacing w:after="60" w:before="200"/>
      </w:pPr>
      <w:r>
        <w:rPr>
          <w:b/>
          <w:i w:val="0"/>
          <w:color w:val="1D7A53"/>
          <w:sz w:val="21"/>
        </w:rPr>
        <w:t>EDUCATION</w:t>
      </w:r>
    </w:p>
    <w:p>
      <w:pPr>
        <w:spacing w:after="40" w:before="0"/>
      </w:pPr>
      <w:r>
        <w:rPr>
          <w:b w:val="0"/>
          <w:i w:val="0"/>
          <w:sz w:val="21"/>
        </w:rPr>
        <w:t>B.A. in Economics, The University of Texas at Austin, 2021</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Competitive Intelligence Research Analyst (B2B Software)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