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Natalie Brennan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Product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New York, NY | natalie.brennan@email.com | (555) 018-2047 | linkedin.com/in/nataliebrennan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Senior product manager with 12 years in strategy consulting and fintech, including 9 in product management. Leads card and rewards products for a digital bank with 3.4 million customers, working with 22 engineers, 3 designers and partners in risk, legal and marketing. Known for pairing customer research with unit economics, launching regulated products on schedule and coaching product managers.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Product strategy and multi-year roadmaps | Consumer fintech (cards, rewards, payments) | Unit economics and revenue ownership | Customer research and jobs to be done | Experimentation at scale | Pricing and rewards design | Regulatory partnership (Reg Z, UDAAP) | Fraud and risk tradeoffs | Go-to-market with marketing and partners | Objectives and key results (OKRs) | PM mentoring and hiring | SQL and Looker analysis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Product Manager, Card and Rewards</w:t>
      </w:r>
      <w:r>
        <w:t>, Ferncastle Bank, New York, NY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Own strategy and roadmap for the debit and credit card portfolio, a product line generating $180M in annual revenue.</w:t>
      </w:r>
    </w:p>
    <w:p>
      <w:pPr>
        <w:pStyle w:val="ListBullet"/>
        <w:spacing w:after="40"/>
      </w:pPr>
      <w:r>
        <w:rPr>
          <w:sz w:val="21"/>
        </w:rPr>
        <w:t>Launched a secured credit card for thin-file customers, opening 210,000 accounts in 18 months with losses 1.4 points under plan.</w:t>
      </w:r>
    </w:p>
    <w:p>
      <w:pPr>
        <w:pStyle w:val="ListBullet"/>
        <w:spacing w:after="40"/>
      </w:pPr>
      <w:r>
        <w:rPr>
          <w:sz w:val="21"/>
        </w:rPr>
        <w:t>Redesigned rewards from points to tiered cash back after 60 customer interviews, raising card spend per active user 27% at flat rewards cost.</w:t>
      </w:r>
    </w:p>
    <w:p>
      <w:pPr>
        <w:pStyle w:val="ListBullet"/>
        <w:spacing w:after="40"/>
      </w:pPr>
      <w:r>
        <w:rPr>
          <w:sz w:val="21"/>
        </w:rPr>
        <w:t>Halved card launch review time (6 weeks to 3) with a shared Reg Z and UDAAP checklist built with legal and risk.</w:t>
      </w:r>
    </w:p>
    <w:p>
      <w:pPr>
        <w:pStyle w:val="ListBullet"/>
        <w:spacing w:after="40"/>
      </w:pPr>
      <w:r>
        <w:rPr>
          <w:sz w:val="21"/>
        </w:rPr>
        <w:t>Moved card controls (freeze, travel notices, merchant blocks) into the app, cutting card-related support calls 34%.</w:t>
      </w:r>
    </w:p>
    <w:p>
      <w:pPr>
        <w:pStyle w:val="ListBullet"/>
        <w:spacing w:after="40"/>
      </w:pPr>
      <w:r>
        <w:rPr>
          <w:sz w:val="21"/>
        </w:rPr>
        <w:t>Mentor 2 product managers and run the quarterly card roadmap review with the Chief Product Officer and finance.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 II, Payouts</w:t>
      </w:r>
      <w:r>
        <w:t>, Pennacott Pay, New York, NY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Owned instant payouts for 45,000 small businesses, growing the feature to 31% of payout volume and $14M in annual fee revenue.</w:t>
      </w:r>
    </w:p>
    <w:p>
      <w:pPr>
        <w:pStyle w:val="ListBullet"/>
        <w:spacing w:after="40"/>
      </w:pPr>
      <w:r>
        <w:rPr>
          <w:sz w:val="21"/>
        </w:rPr>
        <w:t>Reduced payout fraud losses 42% with risk scoring rules defined with data science and a manual review queue.</w:t>
      </w:r>
    </w:p>
    <w:p>
      <w:pPr>
        <w:pStyle w:val="ListBullet"/>
        <w:spacing w:after="40"/>
      </w:pPr>
      <w:r>
        <w:rPr>
          <w:sz w:val="21"/>
        </w:rPr>
        <w:t>Launched same-day ACH settlement, making funds available the same day for 60% of merchant payouts.</w:t>
      </w:r>
    </w:p>
    <w:p>
      <w:pPr>
        <w:pStyle w:val="ListBullet"/>
        <w:spacing w:after="40"/>
      </w:pPr>
      <w:r>
        <w:rPr>
          <w:sz w:val="21"/>
        </w:rPr>
        <w:t>Ran instant payout fee tests across 3 merchant cohorts, choosing a price point that kept adoption above target.</w:t>
      </w:r>
    </w:p>
    <w:p>
      <w:pPr>
        <w:pStyle w:val="ListBullet"/>
        <w:spacing w:after="40"/>
      </w:pPr>
      <w:r>
        <w:rPr>
          <w:sz w:val="21"/>
        </w:rPr>
        <w:t>Wrote the payments team's product requirements template, later adopted by 5 product squads.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Manager, Merchant Onboarding</w:t>
      </w:r>
      <w:r>
        <w:t>, Pennacott Pay, New York, NY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Cut merchant onboarding from 5 days to 1 by automating KYC and KYB identity checks with 2 verification vendors.</w:t>
      </w:r>
    </w:p>
    <w:p>
      <w:pPr>
        <w:pStyle w:val="ListBullet"/>
        <w:spacing w:after="40"/>
      </w:pPr>
      <w:r>
        <w:rPr>
          <w:sz w:val="21"/>
        </w:rPr>
        <w:t>Raised application completion 19% after mapping drop-off in Mixpanel and removing 6 form fields.</w:t>
      </w:r>
    </w:p>
    <w:p>
      <w:pPr>
        <w:pStyle w:val="ListBullet"/>
        <w:spacing w:after="40"/>
      </w:pPr>
      <w:r>
        <w:rPr>
          <w:sz w:val="21"/>
        </w:rPr>
        <w:t>Interviewed 35 merchants to design the first public pricing page, roughly halving pricing questions to sales.</w:t>
      </w:r>
    </w:p>
    <w:p>
      <w:pPr>
        <w:pStyle w:val="ListBullet"/>
        <w:spacing w:after="40"/>
      </w:pPr>
      <w:r>
        <w:rPr>
          <w:sz w:val="21"/>
        </w:rPr>
        <w:t>Coordinated the onboarding relaunch with sales and support, training 70 agents before go-live.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MBA Product Management Intern</w:t>
      </w:r>
      <w:r>
        <w:t>, Vellacourt Media, New York, NY</w:t>
      </w:r>
      <w:r>
        <w:rPr>
          <w:color w:val="5B6672"/>
        </w:rPr>
        <w:t xml:space="preserve">    Summer 2016</w:t>
      </w:r>
    </w:p>
    <w:p>
      <w:pPr>
        <w:pStyle w:val="ListBullet"/>
        <w:spacing w:after="40"/>
      </w:pPr>
      <w:r>
        <w:rPr>
          <w:sz w:val="21"/>
        </w:rPr>
        <w:t>Sized a digital subscription bundle for 3 publications, building the pricing model leadership used to approve a 2017 launch.</w:t>
      </w:r>
    </w:p>
    <w:p>
      <w:pPr>
        <w:pStyle w:val="ListBullet"/>
        <w:spacing w:after="40"/>
      </w:pPr>
      <w:r>
        <w:rPr>
          <w:sz w:val="21"/>
        </w:rPr>
        <w:t>Ran 12 reader interviews and a conjoint survey of 1,500 subscribers to set bundle tiers.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Analyst to Senior Business Analyst</w:t>
      </w:r>
      <w:r>
        <w:t>, Kellwyn Strategy Group, Boston, MA</w:t>
      </w:r>
      <w:r>
        <w:rPr>
          <w:color w:val="5B6672"/>
        </w:rPr>
        <w:t xml:space="preserve">    2012-2015</w:t>
      </w:r>
    </w:p>
    <w:p>
      <w:pPr>
        <w:pStyle w:val="ListBullet"/>
        <w:spacing w:after="40"/>
      </w:pPr>
      <w:r>
        <w:rPr>
          <w:sz w:val="21"/>
        </w:rPr>
        <w:t>Built market sizing and customer segmentation models for 9 financial services clients, including 2 retail bank growth strategies.</w:t>
      </w:r>
    </w:p>
    <w:p>
      <w:pPr>
        <w:pStyle w:val="ListBullet"/>
        <w:spacing w:after="40"/>
      </w:pPr>
      <w:r>
        <w:rPr>
          <w:sz w:val="21"/>
        </w:rPr>
        <w:t>Promoted to senior analyst in 2014 and led a 3-person team on a credit card portfolio benchmarking study.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New York University Stern School of Business, 2017</w:t>
      </w:r>
    </w:p>
    <w:p>
      <w:pPr>
        <w:spacing w:after="40" w:before="0"/>
      </w:pPr>
      <w:r>
        <w:rPr>
          <w:b w:val="0"/>
          <w:i w:val="0"/>
          <w:sz w:val="21"/>
        </w:rPr>
        <w:t>B.A., Economics, Boston College,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| Confluence | Looker | SQL (Snowflake) | Mixpanel | Amplitude | Figma | Optimizely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ADDITIONAL RESULTS</w:t>
      </w:r>
    </w:p>
    <w:p>
      <w:pPr>
        <w:pStyle w:val="ListBullet"/>
        <w:spacing w:after="40"/>
      </w:pPr>
      <w:r>
        <w:rPr>
          <w:sz w:val="21"/>
        </w:rPr>
        <w:t>Card Net Promoter Score up from 29 to 48 between 2022 and 2025</w:t>
      </w:r>
    </w:p>
    <w:p>
      <w:pPr>
        <w:pStyle w:val="ListBullet"/>
        <w:spacing w:after="40"/>
      </w:pPr>
      <w:r>
        <w:rPr>
          <w:sz w:val="21"/>
        </w:rPr>
        <w:t>Early-stage delinquency down 0.6 points after adding autopay prompts at card activation</w:t>
      </w:r>
    </w:p>
    <w:p>
      <w:pPr>
        <w:pStyle w:val="ListBullet"/>
        <w:spacing w:after="40"/>
      </w:pPr>
      <w:r>
        <w:rPr>
          <w:sz w:val="21"/>
        </w:rPr>
        <w:t>Card activation within 30 days of approval raised from 71% to 84% with push provisioning to mobile wallets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SPEAKING</w:t>
      </w:r>
    </w:p>
    <w:p>
      <w:pPr>
        <w:pStyle w:val="ListBullet"/>
        <w:spacing w:after="40"/>
      </w:pPr>
      <w:r>
        <w:rPr>
          <w:sz w:val="21"/>
        </w:rPr>
        <w:t>Co-lead of the company product guild: runs monthly product reviews and the PM onboarding program</w:t>
      </w:r>
    </w:p>
    <w:p>
      <w:pPr>
        <w:pStyle w:val="ListBullet"/>
        <w:spacing w:after="40"/>
      </w:pPr>
      <w:r>
        <w:rPr>
          <w:sz w:val="21"/>
        </w:rPr>
        <w:t>Panelist on consumer fintech product leadership at a New York product conference, 2025</w:t>
      </w:r>
    </w:p>
    <w:p>
      <w:pPr>
        <w:pStyle w:val="ListBullet"/>
        <w:spacing w:after="40"/>
      </w:pPr>
      <w:r>
        <w:rPr>
          <w:sz w:val="21"/>
        </w:rPr>
        <w:t>Mentor to 8 MBA students moving into product management, 2019-Present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Product Manager (Fintech)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