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Claire Sorensen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Protein Engineer, Ph.D., Biochemistry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Boston, MA | claire.sorensen@email.com | (555) 018-2264 | linkedin.com/in/clairesorensen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Protein engineer with a Ph.D. in biochemistry and 3 years of postdoctoral research, moving into an industry Scientist role. Designs antibody and enzyme variants with yeast display, NGS and machine learning, then characterizes hits biophysically against partner milestones. Brings 2 years of industry assay work under GMP procedures.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Protein engineering | Yeast and phage display | Antibody affinity maturation | SPR (Biacore) and DSF | Expression and purification (AKTA) | NGS library analysis | ML-guided design | Assay development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Postdoctoral Research Associate, Protein Engineering</w:t>
      </w:r>
      <w:r>
        <w:t>, Tufts University, Medford, MA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Delivered 4 antibody variants with 30-fold higher affinity to a biotech sponsor, 2 months ahead of the milestone.</w:t>
      </w:r>
    </w:p>
    <w:p>
      <w:pPr>
        <w:pStyle w:val="ListBullet"/>
        <w:spacing w:after="40"/>
      </w:pPr>
      <w:r>
        <w:rPr>
          <w:sz w:val="21"/>
        </w:rPr>
        <w:t>Screened 10-million-member yeast libraries by FACS and NGS, cutting design cycles from 8 weeks to 3.</w:t>
      </w:r>
    </w:p>
    <w:p>
      <w:pPr>
        <w:pStyle w:val="ListBullet"/>
        <w:spacing w:after="40"/>
      </w:pPr>
      <w:r>
        <w:rPr>
          <w:sz w:val="21"/>
        </w:rPr>
        <w:t>Trained a gradient-boosted model on 50,000 sequence-fitness pairs, doubling the next library's hit rate.</w:t>
      </w:r>
    </w:p>
    <w:p>
      <w:pPr>
        <w:pStyle w:val="ListBullet"/>
        <w:spacing w:after="40"/>
      </w:pPr>
      <w:r>
        <w:rPr>
          <w:sz w:val="21"/>
        </w:rPr>
        <w:t>Characterized 120 proteins by SPR, DSF and SEC-MALS and wrote SOPs now used by 9 lab members.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Graduate Researcher, Biochemistry</w:t>
      </w:r>
      <w:r>
        <w:t>, University of California, Davis, Davis, CA</w:t>
      </w:r>
      <w:r>
        <w:rPr>
          <w:color w:val="5B6672"/>
        </w:rPr>
        <w:t xml:space="preserve">    2017-2023</w:t>
      </w:r>
    </w:p>
    <w:p>
      <w:pPr>
        <w:pStyle w:val="ListBullet"/>
        <w:spacing w:after="40"/>
      </w:pPr>
      <w:r>
        <w:rPr>
          <w:sz w:val="21"/>
        </w:rPr>
        <w:t>Engineered a PET-degrading enzyme variant 12°C more thermostable, the basis of 2 first-author papers.</w:t>
      </w:r>
    </w:p>
    <w:p>
      <w:pPr>
        <w:pStyle w:val="ListBullet"/>
        <w:spacing w:after="40"/>
      </w:pPr>
      <w:r>
        <w:rPr>
          <w:sz w:val="21"/>
        </w:rPr>
        <w:t>Scaled expression from shake flasks to a 10 L bioreactor, raising yield from 15 to 120 mg per liter.</w:t>
      </w:r>
    </w:p>
    <w:p>
      <w:pPr>
        <w:pStyle w:val="ListBullet"/>
        <w:spacing w:after="40"/>
      </w:pPr>
      <w:r>
        <w:rPr>
          <w:sz w:val="21"/>
        </w:rPr>
        <w:t>Ran a shared AKTA purification system for 3 labs, scheduling 25 users and logging all maintenance.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Associate I, Analytical Development</w:t>
      </w:r>
      <w:r>
        <w:t>, Wrenfield Biologics, Portland, OR</w:t>
      </w:r>
      <w:r>
        <w:rPr>
          <w:color w:val="5B6672"/>
        </w:rPr>
        <w:t xml:space="preserve">    2015-2017</w:t>
      </w:r>
    </w:p>
    <w:p>
      <w:pPr>
        <w:pStyle w:val="ListBullet"/>
        <w:spacing w:after="40"/>
      </w:pPr>
      <w:r>
        <w:rPr>
          <w:sz w:val="21"/>
        </w:rPr>
        <w:t>Supported development and qualification of 3 ELISA potency assays for biosimilar candidates under phase-appropriate GMP procedures.</w:t>
      </w:r>
    </w:p>
    <w:p>
      <w:pPr>
        <w:pStyle w:val="ListBullet"/>
        <w:spacing w:after="40"/>
      </w:pPr>
      <w:r>
        <w:rPr>
          <w:sz w:val="21"/>
        </w:rPr>
        <w:t>Ran 200+ HPLC purity tests a quarter in Waters Empower, with no out-of-specification results traced to analyst error.</w:t>
      </w:r>
    </w:p>
    <w:p>
      <w:pPr>
        <w:pStyle w:val="ListBullet"/>
        <w:spacing w:after="40"/>
      </w:pPr>
      <w:r>
        <w:rPr>
          <w:sz w:val="21"/>
        </w:rPr>
        <w:t>Helped transfer 2 assays to a contract lab, drafting the transfer protocols and training its analysts on site.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Ph.D., Biochemistry, University of California, Davis, 2023</w:t>
      </w:r>
    </w:p>
    <w:p>
      <w:pPr>
        <w:spacing w:after="40" w:before="0"/>
      </w:pPr>
      <w:r>
        <w:rPr>
          <w:b w:val="0"/>
          <w:i w:val="0"/>
          <w:sz w:val="21"/>
        </w:rPr>
        <w:t>B.S., Chemistry, University of Oregon,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Python | Benchling | FlowJo | Biacore Insight | UNICORN | PyMOL | Rosetta | Waters Empower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PUBLICATIONS, PATENTS AND COLLABORATION</w:t>
      </w:r>
    </w:p>
    <w:p>
      <w:pPr>
        <w:pStyle w:val="ListBullet"/>
        <w:spacing w:after="40"/>
      </w:pPr>
      <w:r>
        <w:rPr>
          <w:sz w:val="21"/>
        </w:rPr>
        <w:t>7 peer-reviewed papers (3 first-author), including ACS Catalysis; full list on Google Scholar</w:t>
      </w:r>
    </w:p>
    <w:p>
      <w:pPr>
        <w:pStyle w:val="ListBullet"/>
        <w:spacing w:after="40"/>
      </w:pPr>
      <w:r>
        <w:rPr>
          <w:sz w:val="21"/>
        </w:rPr>
        <w:t>Co-inventor, US provisional patent application on engineered antibody variants, 2025</w:t>
      </w:r>
    </w:p>
    <w:p>
      <w:pPr>
        <w:pStyle w:val="ListBullet"/>
        <w:spacing w:after="40"/>
      </w:pPr>
      <w:r>
        <w:rPr>
          <w:sz w:val="21"/>
        </w:rPr>
        <w:t>Industry collaboration: monthly data reviews with a partner's antibody discovery team, 2024-2026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Postdoc to Industry Scientist Resume (Biotech)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