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Aisha Rahman</w:t>
      </w:r>
    </w:p>
    <w:p>
      <w:pPr>
        <w:spacing w:after="40" w:before="0"/>
      </w:pPr>
      <w:r>
        <w:rPr>
          <w:b/>
          <w:i w:val="0"/>
          <w:color w:val="1D7A53"/>
          <w:sz w:val="23"/>
        </w:rPr>
        <w:t>Director of Operations, MHA, CMPE</w:t>
      </w:r>
    </w:p>
    <w:p>
      <w:pPr>
        <w:spacing w:after="160" w:before="0"/>
      </w:pPr>
      <w:r>
        <w:rPr>
          <w:b w:val="0"/>
          <w:i w:val="0"/>
          <w:color w:val="5B6672"/>
          <w:sz w:val="19"/>
        </w:rPr>
        <w:t>Tampa, FL | aisha.rahman@email.com | (555) 019-4406 | linkedin.com/in/aisharahman</w:t>
      </w:r>
    </w:p>
    <w:p>
      <w:pPr>
        <w:spacing w:after="60" w:before="200"/>
      </w:pPr>
      <w:r>
        <w:rPr>
          <w:b/>
          <w:i w:val="0"/>
          <w:color w:val="1D7A53"/>
          <w:sz w:val="21"/>
        </w:rPr>
        <w:t>PROFESSIONAL SUMMARY</w:t>
      </w:r>
    </w:p>
    <w:p>
      <w:pPr>
        <w:spacing w:after="80" w:before="0"/>
      </w:pPr>
      <w:r>
        <w:rPr>
          <w:b w:val="0"/>
          <w:i w:val="0"/>
          <w:sz w:val="21"/>
        </w:rPr>
        <w:t>Healthcare operations leader with 16 years across hospital patient access, multispecialty practice management and orthopedic group operations. Partners with physician leaders to expand access, protect the patient experience and keep revenue cycle performance on target, using Lean methods and clear clinic scorecards. Skilled at leading through practice managers, standing up centralized services and preparing teams for EHR conversions.</w:t>
      </w:r>
    </w:p>
    <w:p>
      <w:pPr>
        <w:spacing w:after="60" w:before="200"/>
      </w:pPr>
      <w:r>
        <w:rPr>
          <w:b/>
          <w:i w:val="0"/>
          <w:color w:val="1D7A53"/>
          <w:sz w:val="21"/>
        </w:rPr>
        <w:t>SKILLS</w:t>
      </w:r>
    </w:p>
    <w:p>
      <w:pPr>
        <w:spacing w:after="80" w:before="0"/>
      </w:pPr>
      <w:r>
        <w:rPr>
          <w:b w:val="0"/>
          <w:i w:val="0"/>
          <w:sz w:val="21"/>
        </w:rPr>
        <w:t>Multi-site clinic operations | Patient access and scheduling optimization | Provider template management | Ambulatory surgery center operations | Revenue cycle KPIs (days in A/R, denials) | Prior authorization workflows | Staffing models and labor budgets | Patient experience (Press Ganey) | HIPAA and OSHA compliance | Lean process improvement</w:t>
      </w:r>
    </w:p>
    <w:p>
      <w:pPr>
        <w:spacing w:after="60" w:before="200"/>
      </w:pPr>
      <w:r>
        <w:rPr>
          <w:b/>
          <w:i w:val="0"/>
          <w:color w:val="1D7A53"/>
          <w:sz w:val="21"/>
        </w:rPr>
        <w:t>PROFESSIONAL EXPERIENCE</w:t>
      </w:r>
    </w:p>
    <w:p>
      <w:pPr>
        <w:spacing w:after="20" w:before="0"/>
      </w:pPr>
      <w:r>
        <w:rPr>
          <w:b w:val="0"/>
          <w:i w:val="0"/>
          <w:sz w:val="21"/>
        </w:rPr>
      </w:r>
      <w:r>
        <w:rPr>
          <w:b/>
        </w:rPr>
        <w:t>Director of Operations</w:t>
      </w:r>
      <w:r>
        <w:t>, Cobalt Ridge Orthopedics and Sports Medicine, Tampa, FL</w:t>
      </w:r>
      <w:r>
        <w:rPr>
          <w:color w:val="5B6672"/>
        </w:rPr>
        <w:t xml:space="preserve">    2021-Present</w:t>
      </w:r>
    </w:p>
    <w:p>
      <w:pPr>
        <w:pStyle w:val="ListBullet"/>
        <w:spacing w:after="40"/>
      </w:pPr>
      <w:r>
        <w:rPr>
          <w:sz w:val="21"/>
        </w:rPr>
        <w:t>Direct 11 orthopedic clinics and 2 ambulatory surgery centers (ASCs) with 62 physicians and advanced practice providers, 310 staff and a $48M budget.</w:t>
      </w:r>
    </w:p>
    <w:p>
      <w:pPr>
        <w:pStyle w:val="ListBullet"/>
        <w:spacing w:after="40"/>
      </w:pPr>
      <w:r>
        <w:rPr>
          <w:sz w:val="21"/>
        </w:rPr>
        <w:t>Cut third-next-available new patient lag from 19 to 6 days with rebuilt provider templates and a same-week, physician assistant-led sports injury clinic.</w:t>
      </w:r>
    </w:p>
    <w:p>
      <w:pPr>
        <w:pStyle w:val="ListBullet"/>
        <w:spacing w:after="40"/>
      </w:pPr>
      <w:r>
        <w:rPr>
          <w:sz w:val="21"/>
        </w:rPr>
        <w:t>Reduced no-shows from 11% to 6% with Phreesia digital intake, two-way text reminders and a waitlist that backfills late cancellations.</w:t>
      </w:r>
    </w:p>
    <w:p>
      <w:pPr>
        <w:pStyle w:val="ListBullet"/>
        <w:spacing w:after="40"/>
      </w:pPr>
      <w:r>
        <w:rPr>
          <w:sz w:val="21"/>
        </w:rPr>
        <w:t>Centralized scheduling into a 32-agent patient access center, lowering call abandonment from 18% to 4% and average speed of answer to 45 seconds.</w:t>
      </w:r>
    </w:p>
    <w:p>
      <w:pPr>
        <w:pStyle w:val="ListBullet"/>
        <w:spacing w:after="40"/>
      </w:pPr>
      <w:r>
        <w:rPr>
          <w:sz w:val="21"/>
        </w:rPr>
        <w:t>Worked with ASC medical directors to raise on-time first-case starts from 71% to 92%, adding about 400 cases a year in existing block time.</w:t>
      </w:r>
    </w:p>
    <w:p>
      <w:pPr>
        <w:pStyle w:val="ListBullet"/>
        <w:spacing w:after="40"/>
      </w:pPr>
      <w:r>
        <w:rPr>
          <w:sz w:val="21"/>
        </w:rPr>
        <w:t>Created a centralized prior authorization team that cut MRI and surgery authorization turnaround from 9 to 3 business days.</w:t>
      </w:r>
    </w:p>
    <w:p>
      <w:pPr>
        <w:pStyle w:val="ListBullet"/>
        <w:spacing w:after="40"/>
      </w:pPr>
      <w:r>
        <w:rPr>
          <w:sz w:val="21"/>
        </w:rPr>
        <w:t>Lowered days in accounts receivable from 46 to 33 with the billing partner by fixing front-end eligibility checks and charge capture at checkout.</w:t>
      </w:r>
    </w:p>
    <w:p>
      <w:pPr>
        <w:spacing w:after="20" w:before="0"/>
      </w:pPr>
      <w:r>
        <w:rPr>
          <w:b w:val="0"/>
          <w:i w:val="0"/>
          <w:sz w:val="21"/>
        </w:rPr>
      </w:r>
      <w:r>
        <w:rPr>
          <w:b/>
        </w:rPr>
        <w:t>Senior Practice Manager</w:t>
      </w:r>
      <w:r>
        <w:t>, Sunmere Multispecialty Group, Tampa, FL</w:t>
      </w:r>
      <w:r>
        <w:rPr>
          <w:color w:val="5B6672"/>
        </w:rPr>
        <w:t xml:space="preserve">    2016-2021</w:t>
      </w:r>
    </w:p>
    <w:p>
      <w:pPr>
        <w:pStyle w:val="ListBullet"/>
        <w:spacing w:after="40"/>
      </w:pPr>
      <w:r>
        <w:rPr>
          <w:sz w:val="21"/>
        </w:rPr>
        <w:t>Managed 6 primary care and specialty sites with 28 providers and 95 staff, reporting to the COO.</w:t>
      </w:r>
    </w:p>
    <w:p>
      <w:pPr>
        <w:pStyle w:val="ListBullet"/>
        <w:spacing w:after="40"/>
      </w:pPr>
      <w:r>
        <w:rPr>
          <w:sz w:val="21"/>
        </w:rPr>
        <w:t>Opened 2 new clinics in 2018 and 2020, leading build-out, hiring, payer enrollment and EHR setup.</w:t>
      </w:r>
    </w:p>
    <w:p>
      <w:pPr>
        <w:pStyle w:val="ListBullet"/>
        <w:spacing w:after="40"/>
      </w:pPr>
      <w:r>
        <w:rPr>
          <w:sz w:val="21"/>
        </w:rPr>
        <w:t>Moved every site to telehealth within 2 weeks in 2020, sustaining 70% of normal visit volume.</w:t>
      </w:r>
    </w:p>
    <w:p>
      <w:pPr>
        <w:pStyle w:val="ListBullet"/>
        <w:spacing w:after="40"/>
      </w:pPr>
      <w:r>
        <w:rPr>
          <w:sz w:val="21"/>
        </w:rPr>
        <w:t>Cut front-desk turnover from 42% to 19% with a career ladder, cross-training and new onboarding.</w:t>
      </w:r>
    </w:p>
    <w:p>
      <w:pPr>
        <w:pStyle w:val="ListBullet"/>
        <w:spacing w:after="40"/>
      </w:pPr>
      <w:r>
        <w:rPr>
          <w:sz w:val="21"/>
        </w:rPr>
        <w:t>Raised Press Ganey likelihood-to-recommend scores from the 48th to the 79th percentile by standardizing check-in and rooming.</w:t>
      </w:r>
    </w:p>
    <w:p>
      <w:pPr>
        <w:spacing w:after="20" w:before="0"/>
      </w:pPr>
      <w:r>
        <w:rPr>
          <w:b w:val="0"/>
          <w:i w:val="0"/>
          <w:sz w:val="21"/>
        </w:rPr>
      </w:r>
      <w:r>
        <w:rPr>
          <w:b/>
        </w:rPr>
        <w:t>Patient Access Manager</w:t>
      </w:r>
      <w:r>
        <w:t>, Bayhollow Medical Center, Tampa, FL</w:t>
      </w:r>
      <w:r>
        <w:rPr>
          <w:color w:val="5B6672"/>
        </w:rPr>
        <w:t xml:space="preserve">    2014-2016</w:t>
      </w:r>
    </w:p>
    <w:p>
      <w:pPr>
        <w:pStyle w:val="ListBullet"/>
        <w:spacing w:after="40"/>
      </w:pPr>
      <w:r>
        <w:rPr>
          <w:sz w:val="21"/>
        </w:rPr>
        <w:t>Led 45 registration, insurance verification and financial counseling staff covering the emergency department and outpatient areas of a 380-bed hospital.</w:t>
      </w:r>
    </w:p>
    <w:p>
      <w:pPr>
        <w:pStyle w:val="ListBullet"/>
        <w:spacing w:after="40"/>
      </w:pPr>
      <w:r>
        <w:rPr>
          <w:sz w:val="21"/>
        </w:rPr>
        <w:t>Raised point-of-service collections 64% in 18 months by introducing price estimates, payment plans and daily collection goals at registration.</w:t>
      </w:r>
    </w:p>
    <w:p>
      <w:pPr>
        <w:pStyle w:val="ListBullet"/>
        <w:spacing w:after="40"/>
      </w:pPr>
      <w:r>
        <w:rPr>
          <w:sz w:val="21"/>
        </w:rPr>
        <w:t>Trained 120 patient access staff for the hospital's 2015 Epic conversion as the department's go-live lead.</w:t>
      </w:r>
    </w:p>
    <w:p>
      <w:pPr>
        <w:pStyle w:val="ListBullet"/>
        <w:spacing w:after="40"/>
      </w:pPr>
      <w:r>
        <w:rPr>
          <w:sz w:val="21"/>
        </w:rPr>
        <w:t>Drove registration-related claim denials down 47% in one year through daily accuracy audits, registrar scorecards and targeted coaching.</w:t>
      </w:r>
    </w:p>
    <w:p>
      <w:pPr>
        <w:spacing w:after="20" w:before="0"/>
      </w:pPr>
      <w:r>
        <w:rPr>
          <w:b w:val="0"/>
          <w:i w:val="0"/>
          <w:sz w:val="21"/>
        </w:rPr>
      </w:r>
      <w:r>
        <w:rPr>
          <w:b/>
        </w:rPr>
        <w:t>Patient Access Supervisor</w:t>
      </w:r>
      <w:r>
        <w:t>, Bayhollow Medical Center, Tampa, FL</w:t>
      </w:r>
      <w:r>
        <w:rPr>
          <w:color w:val="5B6672"/>
        </w:rPr>
        <w:t xml:space="preserve">    2012-2014</w:t>
      </w:r>
    </w:p>
    <w:p>
      <w:pPr>
        <w:pStyle w:val="ListBullet"/>
        <w:spacing w:after="40"/>
      </w:pPr>
      <w:r>
        <w:rPr>
          <w:sz w:val="21"/>
        </w:rPr>
        <w:t>Supervised 16 emergency department registrars across 3 shifts, cutting average registration time from 9 to 5 minutes by moving to bedside check-in.</w:t>
      </w:r>
    </w:p>
    <w:p>
      <w:pPr>
        <w:pStyle w:val="ListBullet"/>
        <w:spacing w:after="40"/>
      </w:pPr>
      <w:r>
        <w:rPr>
          <w:sz w:val="21"/>
        </w:rPr>
        <w:t>Partnered with case management on a coverage enrollment program that helped 1,200 uninsured patients apply for Medicaid or Marketplace plans in 2014.</w:t>
      </w:r>
    </w:p>
    <w:p>
      <w:pPr>
        <w:spacing w:after="20" w:before="0"/>
      </w:pPr>
      <w:r>
        <w:rPr>
          <w:b w:val="0"/>
          <w:i w:val="0"/>
          <w:sz w:val="21"/>
        </w:rPr>
      </w:r>
      <w:r>
        <w:rPr>
          <w:b/>
        </w:rPr>
        <w:t>Patient Access Representative</w:t>
      </w:r>
      <w:r>
        <w:t>, Bayhollow Medical Center, Tampa, FL</w:t>
      </w:r>
      <w:r>
        <w:rPr>
          <w:color w:val="5B6672"/>
        </w:rPr>
        <w:t xml:space="preserve">    2010-2012</w:t>
      </w:r>
    </w:p>
    <w:p>
      <w:pPr>
        <w:pStyle w:val="ListBullet"/>
        <w:spacing w:after="40"/>
      </w:pPr>
      <w:r>
        <w:rPr>
          <w:sz w:val="21"/>
        </w:rPr>
        <w:t>Registered 60+ emergency and outpatient patients per shift, verifying insurance eligibility with 99% accuracy.</w:t>
      </w:r>
    </w:p>
    <w:p>
      <w:pPr>
        <w:pStyle w:val="ListBullet"/>
        <w:spacing w:after="40"/>
      </w:pPr>
      <w:r>
        <w:rPr>
          <w:sz w:val="21"/>
        </w:rPr>
        <w:t>Chosen as department trainer after 12 months, onboarding 10 new representatives and cutting their time to solo shifts from 4 weeks to 2.</w:t>
      </w:r>
    </w:p>
    <w:p>
      <w:pPr>
        <w:spacing w:after="60" w:before="200"/>
      </w:pPr>
      <w:r>
        <w:rPr>
          <w:b/>
          <w:i w:val="0"/>
          <w:color w:val="1D7A53"/>
          <w:sz w:val="21"/>
        </w:rPr>
        <w:t>EDUCATION</w:t>
      </w:r>
    </w:p>
    <w:p>
      <w:pPr>
        <w:spacing w:after="40" w:before="0"/>
      </w:pPr>
      <w:r>
        <w:rPr>
          <w:b w:val="0"/>
          <w:i w:val="0"/>
          <w:sz w:val="21"/>
        </w:rPr>
        <w:t>Master of Health Administration (MHA), University of Central Florida, 2015</w:t>
      </w:r>
    </w:p>
    <w:p>
      <w:pPr>
        <w:spacing w:after="40" w:before="0"/>
      </w:pPr>
      <w:r>
        <w:rPr>
          <w:b w:val="0"/>
          <w:i w:val="0"/>
          <w:sz w:val="21"/>
        </w:rPr>
        <w:t>Bachelor of Health Science (BHS), University of Florida, 2010</w:t>
      </w:r>
    </w:p>
    <w:p>
      <w:pPr>
        <w:spacing w:after="60" w:before="200"/>
      </w:pPr>
      <w:r>
        <w:rPr>
          <w:b/>
          <w:i w:val="0"/>
          <w:color w:val="1D7A53"/>
          <w:sz w:val="21"/>
        </w:rPr>
        <w:t>CERTIFICATIONS</w:t>
      </w:r>
    </w:p>
    <w:p>
      <w:pPr>
        <w:spacing w:after="40" w:before="0"/>
      </w:pPr>
      <w:r>
        <w:rPr>
          <w:b w:val="0"/>
          <w:i w:val="0"/>
          <w:sz w:val="21"/>
        </w:rPr>
        <w:t>Certified Medical Practice Executive (CMPE), American College of Medical Practice Executives (MGMA)</w:t>
      </w:r>
    </w:p>
    <w:p>
      <w:pPr>
        <w:spacing w:after="40" w:before="0"/>
      </w:pPr>
      <w:r>
        <w:rPr>
          <w:b w:val="0"/>
          <w:i w:val="0"/>
          <w:sz w:val="21"/>
        </w:rPr>
        <w:t>Certified Lean Six Sigma Green Belt (ICGB), IASSC</w:t>
      </w:r>
    </w:p>
    <w:p>
      <w:pPr>
        <w:spacing w:after="60" w:before="200"/>
      </w:pPr>
      <w:r>
        <w:rPr>
          <w:b/>
          <w:i w:val="0"/>
          <w:color w:val="1D7A53"/>
          <w:sz w:val="21"/>
        </w:rPr>
        <w:t>TECHNICAL SKILLS</w:t>
      </w:r>
    </w:p>
    <w:p>
      <w:pPr>
        <w:spacing w:after="80" w:before="0"/>
      </w:pPr>
      <w:r>
        <w:rPr>
          <w:b w:val="0"/>
          <w:i w:val="0"/>
          <w:sz w:val="21"/>
        </w:rPr>
        <w:t>ModMed | athenahealth | Epic | Phreesia | Tableau | UKG | Excel</w:t>
      </w:r>
    </w:p>
    <w:p>
      <w:pPr>
        <w:spacing w:after="60" w:before="200"/>
      </w:pPr>
      <w:r>
        <w:rPr>
          <w:b/>
          <w:i w:val="0"/>
          <w:color w:val="1D7A53"/>
          <w:sz w:val="21"/>
        </w:rPr>
        <w:t>SELECTED PROJECTS</w:t>
      </w:r>
    </w:p>
    <w:p>
      <w:pPr>
        <w:pStyle w:val="ListBullet"/>
        <w:spacing w:after="40"/>
      </w:pPr>
      <w:r>
        <w:rPr>
          <w:sz w:val="21"/>
        </w:rPr>
        <w:t>Led the 2022 move from a legacy EHR to ModMed across all clinics, with visit templates built alongside physician champions</w:t>
      </w:r>
    </w:p>
    <w:p>
      <w:pPr>
        <w:pStyle w:val="ListBullet"/>
        <w:spacing w:after="40"/>
      </w:pPr>
      <w:r>
        <w:rPr>
          <w:sz w:val="21"/>
        </w:rPr>
        <w:t>Launched same-day physical therapy evaluations in 4 clinics in 2023, adding a service line without new space</w:t>
      </w:r>
    </w:p>
    <w:p>
      <w:pPr>
        <w:spacing w:after="60" w:before="200"/>
      </w:pPr>
      <w:r>
        <w:rPr>
          <w:b/>
          <w:i w:val="0"/>
          <w:color w:val="1D7A53"/>
          <w:sz w:val="21"/>
        </w:rPr>
        <w:t>LEADERSHIP AND AFFILIATIONS</w:t>
      </w:r>
    </w:p>
    <w:p>
      <w:pPr>
        <w:pStyle w:val="ListBullet"/>
        <w:spacing w:after="40"/>
      </w:pPr>
      <w:r>
        <w:rPr>
          <w:sz w:val="21"/>
        </w:rPr>
        <w:t>Chair, practice compliance committee: leads the annual HIPAA security risk assessment and OSHA training for every site</w:t>
      </w:r>
    </w:p>
    <w:p>
      <w:pPr>
        <w:pStyle w:val="ListBullet"/>
        <w:spacing w:after="40"/>
      </w:pPr>
      <w:r>
        <w:rPr>
          <w:sz w:val="21"/>
        </w:rPr>
        <w:t>Member, Medical Group Management Association (MGMA)</w:t>
      </w:r>
    </w:p>
    <w:p>
      <w:pPr>
        <w:pStyle w:val="ListBullet"/>
        <w:spacing w:after="40"/>
      </w:pPr>
      <w:r>
        <w:rPr>
          <w:sz w:val="21"/>
        </w:rPr>
        <w:t>Member, American College of Healthcare Executives (ACHE)</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 Director of Operations (Multi-Site Medical Group)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