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Ritika Bansal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Head of AI Product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Seattle, WA | ritika.bansal@email.com | (555) 018-4471 | linkedin.com/in/ritikabansal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Head of AI Product with 14 years in technology, including 9 leading machine learning products from search ranking to fraud models and generative AI agents. Leads 8 product managers and designers building AI agents for a customer service software company serving 1,900 businesses. Turns models into products with clear unit economics, evaluation gates and governance that enterprise buyers trust.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AI product strategy | LLM and agent product design | Evaluation design (golden sets, human review) | Retrieval-augmented generation (RAG) | AI unit economics and pricing | AI governance (NIST AI RMF) | Machine learning product management | Model monitoring and drift | Experimentation and analytics | Conversation design | Enterprise security reviews | Cross-functional leadership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Head of AI Product</w:t>
      </w:r>
      <w:r>
        <w:t>, Replyfern (customer service software, Series D), Seattle, WA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Report to the Chief Product Officer and own the AI roadmap and a $6M annual model and inference budget across 3 product lines.</w:t>
      </w:r>
    </w:p>
    <w:p>
      <w:pPr>
        <w:pStyle w:val="ListBullet"/>
        <w:spacing w:after="40"/>
      </w:pPr>
      <w:r>
        <w:rPr>
          <w:sz w:val="21"/>
        </w:rPr>
        <w:t>Launched an AI support agent that resolves 52% of chats without a human handoff, creating a $14M ARR add-on in its first year.</w:t>
      </w:r>
    </w:p>
    <w:p>
      <w:pPr>
        <w:pStyle w:val="ListBullet"/>
        <w:spacing w:after="40"/>
      </w:pPr>
      <w:r>
        <w:rPr>
          <w:sz w:val="21"/>
        </w:rPr>
        <w:t>Built release gates on 6,000-conversation golden sets audited by human reviewers, holding sampled answer error rates under 1% after launch.</w:t>
      </w:r>
    </w:p>
    <w:p>
      <w:pPr>
        <w:pStyle w:val="ListBullet"/>
        <w:spacing w:after="40"/>
      </w:pPr>
      <w:r>
        <w:rPr>
          <w:sz w:val="21"/>
        </w:rPr>
        <w:t>Cut inference cost per resolution 61% with engineering by routing simple intents to smaller models and caching retrieval results.</w:t>
      </w:r>
    </w:p>
    <w:p>
      <w:pPr>
        <w:pStyle w:val="ListBullet"/>
        <w:spacing w:after="40"/>
      </w:pPr>
      <w:r>
        <w:rPr>
          <w:sz w:val="21"/>
        </w:rPr>
        <w:t>Set AI governance with legal and security (model cards, data retention controls, NIST AI RMF reviews), shortening enterprise security reviews from 9 weeks to 4.</w:t>
      </w:r>
    </w:p>
    <w:p>
      <w:pPr>
        <w:pStyle w:val="ListBullet"/>
        <w:spacing w:after="40"/>
      </w:pPr>
      <w:r>
        <w:rPr>
          <w:sz w:val="21"/>
        </w:rPr>
        <w:t>Moved AI pricing from per seat to per resolution with finance, raising AI attach on renewals to 38%.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Group Product Manager, Machine Learning</w:t>
      </w:r>
      <w:r>
        <w:t>, Tollgrove Payments, Seattle, WA</w:t>
      </w:r>
      <w:r>
        <w:rPr>
          <w:color w:val="5B6672"/>
        </w:rPr>
        <w:t xml:space="preserve">    2021-2024</w:t>
      </w:r>
    </w:p>
    <w:p>
      <w:pPr>
        <w:pStyle w:val="ListBullet"/>
        <w:spacing w:after="40"/>
      </w:pPr>
      <w:r>
        <w:rPr>
          <w:sz w:val="21"/>
        </w:rPr>
        <w:t>Led 3 PMs owning fraud detection, risk scoring and dispute products for 80,000 online merchants.</w:t>
      </w:r>
    </w:p>
    <w:p>
      <w:pPr>
        <w:pStyle w:val="ListBullet"/>
        <w:spacing w:after="40"/>
      </w:pPr>
      <w:r>
        <w:rPr>
          <w:sz w:val="21"/>
        </w:rPr>
        <w:t>Cut false declines 24% with a new fraud model and merchant-tunable rules, recovering an estimated $90M in merchant sales a year.</w:t>
      </w:r>
    </w:p>
    <w:p>
      <w:pPr>
        <w:pStyle w:val="ListBullet"/>
        <w:spacing w:after="40"/>
      </w:pPr>
      <w:r>
        <w:rPr>
          <w:sz w:val="21"/>
        </w:rPr>
        <w:t>Launched automated dispute evidence, raising merchant chargeback win rates from 31% to 47%.</w:t>
      </w:r>
    </w:p>
    <w:p>
      <w:pPr>
        <w:pStyle w:val="ListBullet"/>
        <w:spacing w:after="40"/>
      </w:pPr>
      <w:r>
        <w:rPr>
          <w:sz w:val="21"/>
        </w:rPr>
        <w:t>Defined model monitoring and drift alerts with data science, cutting time to detect new fraud patterns from days to hours.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Product Manager, Search</w:t>
      </w:r>
      <w:r>
        <w:t>, Cindervane Commerce, Seattle, WA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Owned search and discovery for a home improvement e-commerce site, lifting search conversion 17% with learning-to-rank models.</w:t>
      </w:r>
    </w:p>
    <w:p>
      <w:pPr>
        <w:pStyle w:val="ListBullet"/>
        <w:spacing w:after="40"/>
      </w:pPr>
      <w:r>
        <w:rPr>
          <w:sz w:val="21"/>
        </w:rPr>
        <w:t>Shipped visual search from photos, used in 8% of mobile sessions within 6 months of launch.</w:t>
      </w:r>
    </w:p>
    <w:p>
      <w:pPr>
        <w:pStyle w:val="ListBullet"/>
        <w:spacing w:after="40"/>
      </w:pPr>
      <w:r>
        <w:rPr>
          <w:sz w:val="21"/>
        </w:rPr>
        <w:t>Built the query-understanding roadmap (spelling, synonyms, intent) that cut zero-result searches 42%.</w:t>
      </w:r>
    </w:p>
    <w:p>
      <w:pPr>
        <w:pStyle w:val="ListBullet"/>
        <w:spacing w:after="40"/>
      </w:pPr>
      <w:r>
        <w:rPr>
          <w:sz w:val="21"/>
        </w:rPr>
        <w:t>Ran 60 search experiments a year using interleaving and A/B tests with a 2-person data science team.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Manager</w:t>
      </w:r>
      <w:r>
        <w:t>, Larchbend Software, Bellevue, WA</w:t>
      </w:r>
      <w:r>
        <w:rPr>
          <w:color w:val="5B6672"/>
        </w:rPr>
        <w:t xml:space="preserve">    2014-2017</w:t>
      </w:r>
    </w:p>
    <w:p>
      <w:pPr>
        <w:pStyle w:val="ListBullet"/>
        <w:spacing w:after="40"/>
      </w:pPr>
      <w:r>
        <w:rPr>
          <w:sz w:val="21"/>
        </w:rPr>
        <w:t>Managed the analytics dashboard for a hotel revenue management product used by 1,200 properties.</w:t>
      </w:r>
    </w:p>
    <w:p>
      <w:pPr>
        <w:pStyle w:val="ListBullet"/>
        <w:spacing w:after="40"/>
      </w:pPr>
      <w:r>
        <w:rPr>
          <w:sz w:val="21"/>
        </w:rPr>
        <w:t>Launched automated rate recommendations that hotels accepted 70% of the time in the first quarter.</w:t>
      </w:r>
    </w:p>
    <w:p>
      <w:pPr>
        <w:pStyle w:val="ListBullet"/>
        <w:spacing w:after="40"/>
      </w:pPr>
      <w:r>
        <w:rPr>
          <w:sz w:val="21"/>
        </w:rPr>
        <w:t>Cut dashboard load time from 12 seconds to 2 by reprioritizing performance work with engineering.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Data Analyst</w:t>
      </w:r>
      <w:r>
        <w:t>, Driftmere Insurance, Seattle, WA</w:t>
      </w:r>
      <w:r>
        <w:rPr>
          <w:color w:val="5B6672"/>
        </w:rPr>
        <w:t xml:space="preserve">    2012-2014</w:t>
      </w:r>
    </w:p>
    <w:p>
      <w:pPr>
        <w:pStyle w:val="ListBullet"/>
        <w:spacing w:after="40"/>
      </w:pPr>
      <w:r>
        <w:rPr>
          <w:sz w:val="21"/>
        </w:rPr>
        <w:t>Built SQL and Tableau reporting on claims trends for 4 regional claims teams.</w:t>
      </w:r>
    </w:p>
    <w:p>
      <w:pPr>
        <w:pStyle w:val="ListBullet"/>
        <w:spacing w:after="40"/>
      </w:pPr>
      <w:r>
        <w:rPr>
          <w:sz w:val="21"/>
        </w:rPr>
        <w:t>Prototyped a claims-triage scoring model in Python that became the company's first production machine learning model.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Statistics, University of Washington, 2012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Machine Learning Specialization, DeepLearning.AI and Stanford Online (Coursera),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OpenAI and Anthropic APIs | Amazon Bedrock | LangSmith | Python | SQL | Snowflake | Amplitude | Jira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SELECTED AI LAUNCHES</w:t>
      </w:r>
    </w:p>
    <w:p>
      <w:pPr>
        <w:pStyle w:val="ListBullet"/>
        <w:spacing w:after="40"/>
      </w:pPr>
      <w:r>
        <w:rPr>
          <w:sz w:val="21"/>
        </w:rPr>
        <w:t>AI reply suggestions for human agents (2024): used on 57% of agent replies, cutting average handle time 22%</w:t>
      </w:r>
    </w:p>
    <w:p>
      <w:pPr>
        <w:pStyle w:val="ListBullet"/>
        <w:spacing w:after="40"/>
      </w:pPr>
      <w:r>
        <w:rPr>
          <w:sz w:val="21"/>
        </w:rPr>
        <w:t>AI conversation summaries and tagging (2025): replaced manual wrap-up notes for 1,100 customer support teams</w:t>
      </w:r>
    </w:p>
    <w:p>
      <w:pPr>
        <w:pStyle w:val="ListBullet"/>
        <w:spacing w:after="40"/>
      </w:pPr>
      <w:r>
        <w:rPr>
          <w:sz w:val="21"/>
        </w:rPr>
        <w:t>Multilingual AI agent (2026): extended automated resolution to 11 languages with per-language evaluation sets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AI LEADERSHIP AND SPEAKING</w:t>
      </w:r>
    </w:p>
    <w:p>
      <w:pPr>
        <w:pStyle w:val="ListBullet"/>
        <w:spacing w:after="40"/>
      </w:pPr>
      <w:r>
        <w:rPr>
          <w:sz w:val="21"/>
        </w:rPr>
        <w:t>Member of the company AI review board, which approves every customer-facing model launch</w:t>
      </w:r>
    </w:p>
    <w:p>
      <w:pPr>
        <w:pStyle w:val="ListBullet"/>
        <w:spacing w:after="40"/>
      </w:pPr>
      <w:r>
        <w:rPr>
          <w:sz w:val="21"/>
        </w:rPr>
        <w:t>Co-author of the company's public AI transparency page and customer AI data-use FAQ</w:t>
      </w:r>
    </w:p>
    <w:p>
      <w:pPr>
        <w:pStyle w:val="ListBullet"/>
        <w:spacing w:after="40"/>
      </w:pPr>
      <w:r>
        <w:rPr>
          <w:sz w:val="21"/>
        </w:rPr>
        <w:t>Speaker on evaluating LLM agents at an applied AI conference,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of AI Product (Generative AI and Machine Learning)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