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Marcus Bell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Senior Financial Analyst, FP&amp;A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marcus.bell@email.com | (555) 016-2204 | linkedin.com/in/marcusbell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Senior financial analyst with 8 years in FP&amp;A and corporate finance at industrial and consumer goods companies. Owns the annual operating plan, rolling forecast and monthly business review for a $180M flow-control business unit. Known for driver-based models that leaders actually use and for turning variance analysis into pricing, cost and capital decisions.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Annual operating plan (AOP) and budgeting | Rolling forecasts | Driver-based financial modeling | Variance and bridge analysis | Pricing and margin analysis | Capital expenditure (capex) analysis | Business partnering | Scenario planning | Cost allocation | Management reporting (MBR)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Financial Analyst</w:t>
      </w:r>
      <w:r>
        <w:t>, Pellmont Industries, Charlotte, NC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Raised 3-month revenue forecast accuracy from 89% to 96% by rebuilding the forecast around order backlog, pricing and distributor sell-through.</w:t>
      </w:r>
    </w:p>
    <w:p>
      <w:pPr>
        <w:pStyle w:val="ListBullet"/>
        <w:spacing w:after="40"/>
      </w:pPr>
      <w:r>
        <w:rPr>
          <w:sz w:val="21"/>
        </w:rPr>
        <w:t>Built a driver-based cost model linking volume, labor and freight that identified $4M in savings adopted in the FY2024 plan.</w:t>
      </w:r>
    </w:p>
    <w:p>
      <w:pPr>
        <w:pStyle w:val="ListBullet"/>
        <w:spacing w:after="40"/>
      </w:pPr>
      <w:r>
        <w:rPr>
          <w:sz w:val="21"/>
        </w:rPr>
        <w:t>Automated the business review pack in SQL and Power BI, saving 20 hours monthly and moving it from workday 8 to 5.</w:t>
      </w:r>
    </w:p>
    <w:p>
      <w:pPr>
        <w:pStyle w:val="ListBullet"/>
        <w:spacing w:after="40"/>
      </w:pPr>
      <w:r>
        <w:rPr>
          <w:sz w:val="21"/>
        </w:rPr>
        <w:t>Reviewed 15-20 capex requests a year and recommended deferring a $3.1M line expansion that missed the company's hurdle rate.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Financial Analyst</w:t>
      </w:r>
      <w:r>
        <w:t>, Brayfield Consumer Brands, Raleigh, NC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Produced weekly price-volume-mix variance analysis for a $95M snack portfolio, supporting a 3-point gross margin gain over 2 years.</w:t>
      </w:r>
    </w:p>
    <w:p>
      <w:pPr>
        <w:pStyle w:val="ListBullet"/>
        <w:spacing w:after="40"/>
      </w:pPr>
      <w:r>
        <w:rPr>
          <w:sz w:val="21"/>
        </w:rPr>
        <w:t>Partnered with sales and operations to launch the division's first 18-month rolling forecast and a 12-metric KPI dashboard.</w:t>
      </w:r>
    </w:p>
    <w:p>
      <w:pPr>
        <w:pStyle w:val="ListBullet"/>
        <w:spacing w:after="40"/>
      </w:pPr>
      <w:r>
        <w:rPr>
          <w:sz w:val="21"/>
        </w:rPr>
        <w:t>Modeled trade promotion ROI for 40+ retail events a year, shifting spend toward the 8 highest-return promotions.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Corporate Finance Intern</w:t>
      </w:r>
      <w:r>
        <w:t>, Brayfield Consumer Brands, Raleigh, NC</w:t>
      </w:r>
      <w:r>
        <w:rPr>
          <w:color w:val="5B6672"/>
        </w:rPr>
        <w:t xml:space="preserve">    Summer 2017</w:t>
      </w:r>
    </w:p>
    <w:p>
      <w:pPr>
        <w:pStyle w:val="ListBullet"/>
        <w:spacing w:after="40"/>
      </w:pPr>
      <w:r>
        <w:rPr>
          <w:sz w:val="21"/>
        </w:rPr>
        <w:t>Reconciled 2 years of co-packer invoices against contract rates, recovering $126K in overbilled tolling and storage fees.</w:t>
      </w:r>
    </w:p>
    <w:p>
      <w:pPr>
        <w:pStyle w:val="ListBullet"/>
        <w:spacing w:after="40"/>
      </w:pPr>
      <w:r>
        <w:rPr>
          <w:sz w:val="21"/>
        </w:rPr>
        <w:t>Built an Excel SKU profitability tool covering 220 items that the division later used to rationalize 35 slow sellers.</w:t>
      </w:r>
    </w:p>
    <w:p>
      <w:pPr>
        <w:pStyle w:val="ListBullet"/>
        <w:spacing w:after="40"/>
      </w:pPr>
      <w:r>
        <w:rPr>
          <w:sz w:val="21"/>
        </w:rPr>
        <w:t>Earned a full-time financial analyst offer from the division CFO at the end of the 10-week internship.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Business Administration (BSBA), University of North Carolina at Chapel Hill,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Level II Candidate in the CFA Program (CFA Institute)</w:t>
      </w:r>
    </w:p>
    <w:p>
      <w:pPr>
        <w:spacing w:after="40" w:before="0"/>
      </w:pPr>
      <w:r>
        <w:rPr>
          <w:b w:val="0"/>
          <w:i w:val="0"/>
          <w:sz w:val="21"/>
        </w:rPr>
        <w:t>Financial Modeling and Valuation Analyst (FMVA), Corporate Finance Institute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Excel (VBA, Power Query) | Oracle Hyperion Planning | SAP S/4HANA | SQL Server | Power BI | Tableau | PowerPoint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Financial Analyst (FP&amp;A)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