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Daniel Osei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Investment Analyst, CFA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Boston, MA | daniel.osei@email.com | (555) 017-3916 | linkedin.com/in/danielosei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CFA charterholder and buy-side investment analyst with 8 years in valuation and equity research, covering industrials and transportation for a long-only US equity strategy. Builds earnings and DCF models from filings, channel checks and management meetings, and pitches positions to portfolio managers with base, bull and bear cases.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Equity valuation (DCF, comps) | Three-statement modeling | Earnings analysis | Investment memos and pitches | Expert-network research | Position sizing and risk | Alternative data | ESG and governance review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Investment Analyst, Industrials</w:t>
      </w:r>
      <w:r>
        <w:t>, Brindlemoor Asset Management, Boston, MA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Cover 30 industrials and transportation holdings and watchlist names for a $4.2B long-only strategy, reporting to 2 portfolio managers.</w:t>
      </w:r>
    </w:p>
    <w:p>
      <w:pPr>
        <w:pStyle w:val="ListBullet"/>
        <w:spacing w:after="40"/>
      </w:pPr>
      <w:r>
        <w:rPr>
          <w:sz w:val="21"/>
        </w:rPr>
        <w:t>Recommended 7 new positions since 2023; the 5 still held added 140 basis points versus the Russell 1000 Value in 2025.</w:t>
      </w:r>
    </w:p>
    <w:p>
      <w:pPr>
        <w:pStyle w:val="ListBullet"/>
        <w:spacing w:after="40"/>
      </w:pPr>
      <w:r>
        <w:rPr>
          <w:sz w:val="21"/>
        </w:rPr>
        <w:t>Built a freight-volume tracker from weekly public rail carload data that flagged a trucking downturn a quarter before consensus cuts.</w:t>
      </w:r>
    </w:p>
    <w:p>
      <w:pPr>
        <w:pStyle w:val="ListBullet"/>
        <w:spacing w:after="40"/>
      </w:pPr>
      <w:r>
        <w:rPr>
          <w:sz w:val="21"/>
        </w:rPr>
        <w:t>Hold 60+ management, supplier and expert-network meetings a year, documenting each thesis with catalysts, exit triggers and risk limits.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Equity Research Associate</w:t>
      </w:r>
      <w:r>
        <w:t>, Ashcombe Ridge Securities, New York, NY</w:t>
      </w:r>
      <w:r>
        <w:rPr>
          <w:color w:val="5B6672"/>
        </w:rPr>
        <w:t xml:space="preserve">    2020-2023</w:t>
      </w:r>
    </w:p>
    <w:p>
      <w:pPr>
        <w:pStyle w:val="ListBullet"/>
        <w:spacing w:after="40"/>
      </w:pPr>
      <w:r>
        <w:rPr>
          <w:sz w:val="21"/>
        </w:rPr>
        <w:t>Supported a senior analyst covering 18 machinery and aerospace stocks, maintaining every earnings model and co-authoring 120+ notes a year.</w:t>
      </w:r>
    </w:p>
    <w:p>
      <w:pPr>
        <w:pStyle w:val="ListBullet"/>
        <w:spacing w:after="40"/>
      </w:pPr>
      <w:r>
        <w:rPr>
          <w:sz w:val="21"/>
        </w:rPr>
        <w:t>Built the team's aerospace aftermarket demand model, used in 2 initiation reports and on calls with 40+ institutional clients.</w:t>
      </w:r>
    </w:p>
    <w:p>
      <w:pPr>
        <w:pStyle w:val="ListBullet"/>
        <w:spacing w:after="40"/>
      </w:pPr>
      <w:r>
        <w:rPr>
          <w:sz w:val="21"/>
        </w:rPr>
        <w:t>Delivered first-take earnings notes within 2 hours of each release, covering guidance changes and model revisions, every reporting season.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Valuation Analyst</w:t>
      </w:r>
      <w:r>
        <w:t>, Merrin &amp; Cole Advisory, Boston, MA</w:t>
      </w:r>
      <w:r>
        <w:rPr>
          <w:color w:val="5B6672"/>
        </w:rPr>
        <w:t xml:space="preserve">    2018-2020</w:t>
      </w:r>
    </w:p>
    <w:p>
      <w:pPr>
        <w:pStyle w:val="ListBullet"/>
        <w:spacing w:after="40"/>
      </w:pPr>
      <w:r>
        <w:rPr>
          <w:sz w:val="21"/>
        </w:rPr>
        <w:t>Prepared DCF, guideline public company and precedent transaction analyses for 35+ fairness opinion and purchase price allocation engagements.</w:t>
      </w:r>
    </w:p>
    <w:p>
      <w:pPr>
        <w:pStyle w:val="ListBullet"/>
        <w:spacing w:after="40"/>
      </w:pPr>
      <w:r>
        <w:rPr>
          <w:sz w:val="21"/>
        </w:rPr>
        <w:t>Built a reusable deal-multiples database from Capital IQ and PitchBook that cut comparable-analysis setup time by a third for the team.</w:t>
      </w:r>
    </w:p>
    <w:p>
      <w:pPr>
        <w:pStyle w:val="ListBullet"/>
        <w:spacing w:after="40"/>
      </w:pPr>
      <w:r>
        <w:rPr>
          <w:sz w:val="21"/>
        </w:rPr>
        <w:t>Drafted valuation report sections reviewed by audit firms, with no material audit adjustments on any assigned engagement.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BBA, Finance, University of Massachusetts Amherst, 2018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CFA charterholder (CFA Institute), 2023</w:t>
      </w:r>
    </w:p>
    <w:p>
      <w:pPr>
        <w:spacing w:after="40" w:before="0"/>
      </w:pPr>
      <w:r>
        <w:rPr>
          <w:b w:val="0"/>
          <w:i w:val="0"/>
          <w:sz w:val="21"/>
        </w:rPr>
        <w:t>FINRA SIE, Series 86 and 87 (2020-2023)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Bloomberg | FactSet | Capital IQ | PitchBook | AlphaSense | Excel (VBA) | Python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Investment Analyst (Equity Research)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