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Mei Zhou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Senior Treasury Analyst, CTP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Houston, TX | mei.zhou@email.com | (555) 016-2047 | linkedin.com/in/meizhou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Senior treasury analyst with 7 years in corporate and bank treasury, supporting the treasurer of a $1.4B-revenue energy services company. Owns liquidity forecasting and FX hedge execution, manages day-to-day bank relationships and administers Kyriba. CTP focused on accurate funding, payment security and bank fee control.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Daily cash positioning | 13-week cash forecasting | Revolver management | FX hedging | Bank relationships | Payment controls | Borrowing base and covenant reporting | Bank fee analysis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Senior Treasury Analyst</w:t>
      </w:r>
      <w:r>
        <w:t>, Corvadis Energy Services, Houston, TX</w:t>
      </w:r>
      <w:r>
        <w:rPr>
          <w:color w:val="5B6672"/>
        </w:rPr>
        <w:t xml:space="preserve">    2024-Present</w:t>
      </w:r>
    </w:p>
    <w:p>
      <w:pPr>
        <w:pStyle w:val="ListBullet"/>
        <w:spacing w:after="40"/>
      </w:pPr>
      <w:r>
        <w:rPr>
          <w:sz w:val="21"/>
        </w:rPr>
        <w:t>Run daily cash positioning across 38 accounts at 7 banks, directing excess cash to revolver paydowns before the 10 a.m. funding deadline.</w:t>
      </w:r>
    </w:p>
    <w:p>
      <w:pPr>
        <w:pStyle w:val="ListBullet"/>
        <w:spacing w:after="40"/>
      </w:pPr>
      <w:r>
        <w:rPr>
          <w:sz w:val="21"/>
        </w:rPr>
        <w:t>Rebuilt the 13-week cash flow forecast from AR and AP aging data, holding weekly variance within 4% of actuals for 6 straight quarters.</w:t>
      </w:r>
    </w:p>
    <w:p>
      <w:pPr>
        <w:pStyle w:val="ListBullet"/>
        <w:spacing w:after="40"/>
      </w:pPr>
      <w:r>
        <w:rPr>
          <w:sz w:val="21"/>
        </w:rPr>
        <w:t>Closed 11 dormant accounts and renegotiated pricing with 2 lead banks, cutting annual bank fees by $140,000 without losing any services.</w:t>
      </w:r>
    </w:p>
    <w:p>
      <w:pPr>
        <w:pStyle w:val="ListBullet"/>
        <w:spacing w:after="40"/>
      </w:pPr>
      <w:r>
        <w:rPr>
          <w:sz w:val="21"/>
        </w:rPr>
        <w:t>Executed $85M of EUR and CAD forward contracts under the hedging policy, keeping net FX exposure within board-approved limits.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Treasury Analyst</w:t>
      </w:r>
      <w:r>
        <w:t>, Tandemore Industrial Supply, Houston, TX</w:t>
      </w:r>
      <w:r>
        <w:rPr>
          <w:color w:val="5B6672"/>
        </w:rPr>
        <w:t xml:space="preserve">    2021-2024</w:t>
      </w:r>
    </w:p>
    <w:p>
      <w:pPr>
        <w:pStyle w:val="ListBullet"/>
        <w:spacing w:after="40"/>
      </w:pPr>
      <w:r>
        <w:rPr>
          <w:sz w:val="21"/>
        </w:rPr>
        <w:t>Implemented Kyriba with 5 banks, automating BAI2 statement loads and daily bank reconciliation for 24 accounts within 4 months.</w:t>
      </w:r>
    </w:p>
    <w:p>
      <w:pPr>
        <w:pStyle w:val="ListBullet"/>
        <w:spacing w:after="40"/>
      </w:pPr>
      <w:r>
        <w:rPr>
          <w:sz w:val="21"/>
        </w:rPr>
        <w:t>Rolled out payee positive pay on every disbursement account, stopping 3 altered and counterfeit checks worth $212,000 in the first year.</w:t>
      </w:r>
    </w:p>
    <w:p>
      <w:pPr>
        <w:pStyle w:val="ListBullet"/>
        <w:spacing w:after="40"/>
      </w:pPr>
      <w:r>
        <w:rPr>
          <w:sz w:val="21"/>
        </w:rPr>
        <w:t>Prepared monthly borrowing base and quarterly compliance certificates for a $250M asset-based loan facility, with zero late filings.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Treasury Services Associate</w:t>
      </w:r>
      <w:r>
        <w:t>, Galvenport Bank, Houston, TX</w:t>
      </w:r>
      <w:r>
        <w:rPr>
          <w:color w:val="5B6672"/>
        </w:rPr>
        <w:t xml:space="preserve">    2019-2021</w:t>
      </w:r>
    </w:p>
    <w:p>
      <w:pPr>
        <w:pStyle w:val="ListBullet"/>
        <w:spacing w:after="40"/>
      </w:pPr>
      <w:r>
        <w:rPr>
          <w:sz w:val="21"/>
        </w:rPr>
        <w:t>Onboarded 40+ commercial clients to ACH origination, wire templates and remote deposit capture, meeting the bank's 5-day setup target.</w:t>
      </w:r>
    </w:p>
    <w:p>
      <w:pPr>
        <w:pStyle w:val="ListBullet"/>
        <w:spacing w:after="40"/>
      </w:pPr>
      <w:r>
        <w:rPr>
          <w:sz w:val="21"/>
        </w:rPr>
        <w:t>Reviewed account analysis statements for 60 middle-market clients, recommending sweep structures that retained $90M in deposits.</w:t>
      </w:r>
    </w:p>
    <w:p>
      <w:pPr>
        <w:pStyle w:val="ListBullet"/>
        <w:spacing w:after="40"/>
      </w:pPr>
      <w:r>
        <w:rPr>
          <w:sz w:val="21"/>
        </w:rPr>
        <w:t>Resolved ACH returns and wire exceptions before same-day cutoffs, keeping first-contact resolution at 99% across 300+ cases a month.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BBA, Finance, University of Houston, 2019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Certified Treasury Professional (CTP), Association for Financial Professionals, 2023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Kyriba | SAP S/4HANA | Bloomberg | Excel (VBA, Power Query) | Power BI | SWIFT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Treasury Analyst (Corporate Treasury)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