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Arjun Raghavan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Investment Banking Analyst, M&amp;A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New York, NY | arjun.raghavan@email.com | (555) 018-3361 | linkedin.com/in/arjunraghavan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Third-year investment banking analyst in a middle-market industrials group with 5 closed sell-side, buy-side and debt recapitalization deals. Builds LBO, merger and DCF models, drafts CIMs and runs diligence for auctions with 60+ prospective buyers. SIE, Series 79 and Series 63 licensed.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LBO, merger and DCF modeling | Trading comps and precedents | CIMs and teasers | Management presentations | Buyer outreach | Due diligence and data rooms | Debt capacity analysis | Pitch books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Investment Banking Analyst, Industrials Group</w:t>
      </w:r>
      <w:r>
        <w:t>, Pellingham Hart &amp; Co., New York, NY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Built operating and LBO models for 2 sell-side auctions, running sponsor return sensitivities that shaped management's price guidance to bidders.</w:t>
      </w:r>
    </w:p>
    <w:p>
      <w:pPr>
        <w:pStyle w:val="ListBullet"/>
        <w:spacing w:after="40"/>
      </w:pPr>
      <w:r>
        <w:rPr>
          <w:sz w:val="21"/>
        </w:rPr>
        <w:t>Drafted 3 CIMs and management presentations, coordinating edits with management, counsel and 2 MDs.</w:t>
      </w:r>
    </w:p>
    <w:p>
      <w:pPr>
        <w:pStyle w:val="ListBullet"/>
        <w:spacing w:after="40"/>
      </w:pPr>
      <w:r>
        <w:rPr>
          <w:sz w:val="21"/>
        </w:rPr>
        <w:t>Managed a data room and 400+ diligence requests on a 14-week auction, answering within 48 hours.</w:t>
      </w:r>
    </w:p>
    <w:p>
      <w:pPr>
        <w:pStyle w:val="ListBullet"/>
        <w:spacing w:after="40"/>
      </w:pPr>
      <w:r>
        <w:rPr>
          <w:sz w:val="21"/>
        </w:rPr>
        <w:t>Prepared 20+ pitch books with trading comps, precedents and buyer universes, helping win 4 mandates.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Investment Banking Summer Analyst</w:t>
      </w:r>
      <w:r>
        <w:t>, Corliss Vane Securities, New York, NY</w:t>
      </w:r>
      <w:r>
        <w:rPr>
          <w:color w:val="5B6672"/>
        </w:rPr>
        <w:t xml:space="preserve">    Summer 2023</w:t>
      </w:r>
    </w:p>
    <w:p>
      <w:pPr>
        <w:pStyle w:val="ListBullet"/>
        <w:spacing w:after="40"/>
      </w:pPr>
      <w:r>
        <w:rPr>
          <w:sz w:val="21"/>
        </w:rPr>
        <w:t>Built an 18-company specialty chemicals trading comps set used in a live sell-side valuation.</w:t>
      </w:r>
    </w:p>
    <w:p>
      <w:pPr>
        <w:pStyle w:val="ListBullet"/>
        <w:spacing w:after="40"/>
      </w:pPr>
      <w:r>
        <w:rPr>
          <w:sz w:val="21"/>
        </w:rPr>
        <w:t>Screened 150 sponsors and strategic acquirers for a buyer list, profiling the top 40 in depth.</w:t>
      </w:r>
    </w:p>
    <w:p>
      <w:pPr>
        <w:pStyle w:val="ListBullet"/>
        <w:spacing w:after="40"/>
      </w:pPr>
      <w:r>
        <w:rPr>
          <w:sz w:val="21"/>
        </w:rPr>
        <w:t>Wrote a 15-page aftermarket auto parts primer for the group head, later reused in 2 client pitches.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Valuation Advisory Intern</w:t>
      </w:r>
      <w:r>
        <w:t>, Ruarkfield Valuation Advisors, New York, NY</w:t>
      </w:r>
      <w:r>
        <w:rPr>
          <w:color w:val="5B6672"/>
        </w:rPr>
        <w:t xml:space="preserve">    Summer 2022</w:t>
      </w:r>
    </w:p>
    <w:p>
      <w:pPr>
        <w:pStyle w:val="ListBullet"/>
        <w:spacing w:after="40"/>
      </w:pPr>
      <w:r>
        <w:rPr>
          <w:sz w:val="21"/>
        </w:rPr>
        <w:t>Supported 409A and purchase price allocation work for 9 private companies under senior review.</w:t>
      </w:r>
    </w:p>
    <w:p>
      <w:pPr>
        <w:pStyle w:val="ListBullet"/>
        <w:spacing w:after="40"/>
      </w:pPr>
      <w:r>
        <w:rPr>
          <w:sz w:val="21"/>
        </w:rPr>
        <w:t>Pulled guideline company data from Capital IQ and built cost of capital inputs for DCF models.</w:t>
      </w:r>
    </w:p>
    <w:p>
      <w:pPr>
        <w:pStyle w:val="ListBullet"/>
        <w:spacing w:after="40"/>
      </w:pPr>
      <w:r>
        <w:rPr>
          <w:sz w:val="21"/>
        </w:rPr>
        <w:t>Built a deadline tracker for 30 engagements that the team adopted for its quarter-end reporting season.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BBA in Finance, Baruch College, Zicklin School of Business (CUNY), 2024, GPA 3.8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Securities Industry Essentials (SIE), Series 79 and Series 63, passed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Excel and PowerPoint (Macabacus) | FactSet | S&amp;P Capital IQ | PitchBook | Datasite | Bloomberg Terminal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SELECTED TRANSACTION EXPERIENCE</w:t>
      </w:r>
    </w:p>
    <w:p>
      <w:pPr>
        <w:pStyle w:val="ListBullet"/>
        <w:spacing w:after="40"/>
      </w:pPr>
      <w:r>
        <w:rPr>
          <w:sz w:val="21"/>
        </w:rPr>
        <w:t>$310M sale of a specialty packaging manufacturer to a strategic acquirer (sell-side M&amp;A), closed 2025</w:t>
      </w:r>
    </w:p>
    <w:p>
      <w:pPr>
        <w:pStyle w:val="ListBullet"/>
        <w:spacing w:after="40"/>
      </w:pPr>
      <w:r>
        <w:rPr>
          <w:sz w:val="21"/>
        </w:rPr>
        <w:t>$240M dividend recapitalization for a sponsor-owned industrial distributor (debt advisory), closed 2025</w:t>
      </w:r>
    </w:p>
    <w:p>
      <w:pPr>
        <w:pStyle w:val="ListBullet"/>
        <w:spacing w:after="40"/>
      </w:pPr>
      <w:r>
        <w:rPr>
          <w:sz w:val="21"/>
        </w:rPr>
        <w:t>$95M add-on acquisition of an HVAC services platform for a private equity client (buy-side), closed 2026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Banking Analyst (M&amp;A)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