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LaToya Bennett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Credit Manager, CCE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Kansas City, MO | latoya.bennett@email.com | (555) 015-7720 | linkedin.com/in/latoyabennett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Commercial credit manager with 11 years in building products, electrical and foodservice distribution, responsible for a $95M receivables portfolio across 3,400 contractor and business accounts. Sets credit policy, approves limits up to $250,000, leads a 5-person credit and collections team and protects lien and bond rights on construction sales. NACM Certified Credit Executive (CCE) skilled in SAP S/4HANA, HighRadius and Power BI.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Credit underwriting | Credit limits and terms | Credit policy development | DSO reduction | Lien and bond claims | UCC-1 filings, guarantees | Financial analysis | Collections strategy | Trade credit insurance | Team leadership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Credit Manager</w:t>
      </w:r>
      <w:r>
        <w:t>, Kawsmouth Building Supply, Kansas City, MO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Lowered DSO from 49 to 41 days in 2 years by risk-segmenting accounts and automating dunning in HighRadius.</w:t>
      </w:r>
    </w:p>
    <w:p>
      <w:pPr>
        <w:pStyle w:val="ListBullet"/>
        <w:spacing w:after="40"/>
      </w:pPr>
      <w:r>
        <w:rPr>
          <w:sz w:val="21"/>
        </w:rPr>
        <w:t>Cut bad-debt write-offs from 0.6% to 0.3% of sales by tightening scoring and requiring guarantees above $50K.</w:t>
      </w:r>
    </w:p>
    <w:p>
      <w:pPr>
        <w:pStyle w:val="ListBullet"/>
        <w:spacing w:after="40"/>
      </w:pPr>
      <w:r>
        <w:rPr>
          <w:sz w:val="21"/>
        </w:rPr>
        <w:t>Rewrote the credit policy and approval matrix, letting sales open 70% of new contractor accounts within 24 hours.</w:t>
      </w:r>
    </w:p>
    <w:p>
      <w:pPr>
        <w:pStyle w:val="ListBullet"/>
        <w:spacing w:after="40"/>
      </w:pPr>
      <w:r>
        <w:rPr>
          <w:sz w:val="21"/>
        </w:rPr>
        <w:t>Recovered $410,000 on 22 defaulted construction accounts through timely preliminary notices, mechanic's liens and payment bond claims on public jobs.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Credit Analyst</w:t>
      </w:r>
      <w:r>
        <w:t>, Plattsview Foodservice Distributors, Kansas City, KS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Underwrote 600+ new and renewal credit requests a year for restaurants and institutions using D&amp;B reports, trade references and financials.</w:t>
      </w:r>
    </w:p>
    <w:p>
      <w:pPr>
        <w:pStyle w:val="ListBullet"/>
        <w:spacing w:after="40"/>
      </w:pPr>
      <w:r>
        <w:rPr>
          <w:sz w:val="21"/>
        </w:rPr>
        <w:t>Helped place a trade credit insurance policy on the top 75 accounts, protecting $18M of exposure through the 2020 restaurant closures.</w:t>
      </w:r>
    </w:p>
    <w:p>
      <w:pPr>
        <w:pStyle w:val="ListBullet"/>
        <w:spacing w:after="40"/>
      </w:pPr>
      <w:r>
        <w:rPr>
          <w:sz w:val="21"/>
        </w:rPr>
        <w:t>Built a weekly past-due dashboard in Power BI for branch managers that cut 90+ day balances by 35% within 3 quarters.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Credit and Collections Analyst</w:t>
      </w:r>
      <w:r>
        <w:t>, Westlarch Electrical Supply, Overland Park, KS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Managed a $14M, 450-account collections portfolio, keeping current balances above 88% for 10 quarters.</w:t>
      </w:r>
    </w:p>
    <w:p>
      <w:pPr>
        <w:pStyle w:val="ListBullet"/>
        <w:spacing w:after="40"/>
      </w:pPr>
      <w:r>
        <w:rPr>
          <w:sz w:val="21"/>
        </w:rPr>
        <w:t>Resolved 120+ pricing and proof-of-delivery disputes a month with branch staff, clearing deductions in 30 days.</w:t>
      </w:r>
    </w:p>
    <w:p>
      <w:pPr>
        <w:pStyle w:val="ListBullet"/>
        <w:spacing w:after="40"/>
      </w:pPr>
      <w:r>
        <w:rPr>
          <w:sz w:val="21"/>
        </w:rPr>
        <w:t>Filed UCC-1 financing statements and tracked lien deadlines for 60 contractor projects across Kansas and Missouri.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BBA, Finance, University of Missouri-Kansas City,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Credit Executive (CCE), National Association of Credit Management (NACM), 2023</w:t>
      </w:r>
    </w:p>
    <w:p>
      <w:pPr>
        <w:spacing w:after="40" w:before="0"/>
      </w:pPr>
      <w:r>
        <w:rPr>
          <w:b w:val="0"/>
          <w:i w:val="0"/>
          <w:sz w:val="21"/>
        </w:rPr>
        <w:t>Credit Business Associate (CBA) and Credit Business Fellow (CBF), NACM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SAP S/4HANA | HighRadius | Dun &amp; Bradstreet | Experian Business | Power BI | Excel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Manager (Commercial Credit and Collections)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