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Simon Nakamura</w:t>
      </w:r>
    </w:p>
    <w:p>
      <w:pPr>
        <w:spacing w:after="40" w:before="0"/>
      </w:pPr>
      <w:r>
        <w:rPr>
          <w:b/>
          <w:i w:val="0"/>
          <w:color w:val="1D7A53"/>
          <w:sz w:val="23"/>
        </w:rPr>
        <w:t>Chief Technology Officer</w:t>
      </w:r>
    </w:p>
    <w:p>
      <w:pPr>
        <w:spacing w:after="160" w:before="0"/>
      </w:pPr>
      <w:r>
        <w:rPr>
          <w:b w:val="0"/>
          <w:i w:val="0"/>
          <w:color w:val="5B6672"/>
          <w:sz w:val="19"/>
        </w:rPr>
        <w:t>New York, NY | simon.nakamura@email.com | (555) 015-8812 | linkedin.com/in/simonnakamura</w:t>
      </w:r>
    </w:p>
    <w:p>
      <w:pPr>
        <w:spacing w:after="60" w:before="200"/>
      </w:pPr>
      <w:r>
        <w:rPr>
          <w:b/>
          <w:i w:val="0"/>
          <w:color w:val="1D7A53"/>
          <w:sz w:val="21"/>
        </w:rPr>
        <w:t>PROFESSIONAL SUMMARY</w:t>
      </w:r>
    </w:p>
    <w:p>
      <w:pPr>
        <w:spacing w:after="80" w:before="0"/>
      </w:pPr>
      <w:r>
        <w:rPr>
          <w:b w:val="0"/>
          <w:i w:val="0"/>
          <w:sz w:val="21"/>
        </w:rPr>
        <w:t>Fintech CTO with 18 years in payments, lending and capital markets technology, now leading engineering, security and data at a B2B payments company. Pairs fast product delivery with the controls auditors, examiners and bank partners expect, and speaks the language of risk committees as fluently as that of engineering teams. Builds resilient, well-governed platforms that scale through volume surges and new payment rails.</w:t>
      </w:r>
    </w:p>
    <w:p>
      <w:pPr>
        <w:spacing w:after="60" w:before="200"/>
      </w:pPr>
      <w:r>
        <w:rPr>
          <w:b/>
          <w:i w:val="0"/>
          <w:color w:val="1D7A53"/>
          <w:sz w:val="21"/>
        </w:rPr>
        <w:t>SKILLS</w:t>
      </w:r>
    </w:p>
    <w:p>
      <w:pPr>
        <w:spacing w:after="80" w:before="0"/>
      </w:pPr>
      <w:r>
        <w:rPr>
          <w:b w:val="0"/>
          <w:i w:val="0"/>
          <w:sz w:val="21"/>
        </w:rPr>
        <w:t>Payments architecture (ACH, card, RTP, FedNow) | Double-entry ledger design | PCI DSS v4.0.1 compliance | SOC 1 and SOC 2 Type II | Sponsor bank and examiner readiness | Fraud and credit machine learning | Model risk management (SR 26-2, formerly SR 11-7) | High-availability systems | Cloud security and zero trust | Processor and vendor management | Engineering organization scaling | Board and risk committee reporting</w:t>
      </w:r>
    </w:p>
    <w:p>
      <w:pPr>
        <w:spacing w:after="60" w:before="200"/>
      </w:pPr>
      <w:r>
        <w:rPr>
          <w:b/>
          <w:i w:val="0"/>
          <w:color w:val="1D7A53"/>
          <w:sz w:val="21"/>
        </w:rPr>
        <w:t>PROFESSIONAL EXPERIENCE</w:t>
      </w:r>
    </w:p>
    <w:p>
      <w:pPr>
        <w:spacing w:after="20" w:before="0"/>
      </w:pPr>
      <w:r>
        <w:rPr>
          <w:b w:val="0"/>
          <w:i w:val="0"/>
          <w:sz w:val="21"/>
        </w:rPr>
      </w:r>
      <w:r>
        <w:rPr>
          <w:b/>
        </w:rPr>
        <w:t>Chief Technology Officer</w:t>
      </w:r>
      <w:r>
        <w:t>, Fallowbrook Payments, New York, NY</w:t>
      </w:r>
      <w:r>
        <w:rPr>
          <w:color w:val="5B6672"/>
        </w:rPr>
        <w:t xml:space="preserve">    2022-Present</w:t>
      </w:r>
    </w:p>
    <w:p>
      <w:pPr>
        <w:pStyle w:val="ListBullet"/>
        <w:spacing w:after="40"/>
      </w:pPr>
      <w:r>
        <w:rPr>
          <w:sz w:val="21"/>
        </w:rPr>
        <w:t>Lead 160 engineers and a 24/7 platform moving $38B a year in ACH, card and real-time payments for 6,000 businesses through 2 sponsor banks.</w:t>
      </w:r>
    </w:p>
    <w:p>
      <w:pPr>
        <w:pStyle w:val="ListBullet"/>
        <w:spacing w:after="40"/>
      </w:pPr>
      <w:r>
        <w:rPr>
          <w:sz w:val="21"/>
        </w:rPr>
        <w:t>Launched instant payouts on the RTP network and FedNow, growing real-time rails to 22% of payment volume within 18 months.</w:t>
      </w:r>
    </w:p>
    <w:p>
      <w:pPr>
        <w:pStyle w:val="ListBullet"/>
        <w:spacing w:after="40"/>
      </w:pPr>
      <w:r>
        <w:rPr>
          <w:sz w:val="21"/>
        </w:rPr>
        <w:t>Rebuilt the ledger as an immutable double-entry system reconciled to the cent every day, closing a priority finding from a sponsor bank audit.</w:t>
      </w:r>
    </w:p>
    <w:p>
      <w:pPr>
        <w:pStyle w:val="ListBullet"/>
        <w:spacing w:after="40"/>
      </w:pPr>
      <w:r>
        <w:rPr>
          <w:sz w:val="21"/>
        </w:rPr>
        <w:t>Met every PCI DSS v4.0.1 future-dated requirement before the March 2025 deadline and passed the Level 1 service provider assessment with no open findings.</w:t>
      </w:r>
    </w:p>
    <w:p>
      <w:pPr>
        <w:pStyle w:val="ListBullet"/>
        <w:spacing w:after="40"/>
      </w:pPr>
      <w:r>
        <w:rPr>
          <w:sz w:val="21"/>
        </w:rPr>
        <w:t>Cut fraud losses from 9 to 3 basis points of volume with a real-time risk engine that scores every payment in under 50 milliseconds.</w:t>
      </w:r>
    </w:p>
    <w:p>
      <w:pPr>
        <w:pStyle w:val="ListBullet"/>
        <w:spacing w:after="40"/>
      </w:pPr>
      <w:r>
        <w:rPr>
          <w:sz w:val="21"/>
        </w:rPr>
        <w:t>Held 99.995% availability on the payment-initiation API through a 4x volume increase with active-active deployment across 2 AWS regions.</w:t>
      </w:r>
    </w:p>
    <w:p>
      <w:pPr>
        <w:spacing w:after="20" w:before="0"/>
      </w:pPr>
      <w:r>
        <w:rPr>
          <w:b w:val="0"/>
          <w:i w:val="0"/>
          <w:sz w:val="21"/>
        </w:rPr>
      </w:r>
      <w:r>
        <w:rPr>
          <w:b/>
        </w:rPr>
        <w:t>Vice President of Engineering</w:t>
      </w:r>
      <w:r>
        <w:t>, Wexmoor Lending, New York, NY</w:t>
      </w:r>
      <w:r>
        <w:rPr>
          <w:color w:val="5B6672"/>
        </w:rPr>
        <w:t xml:space="preserve">    2018-2022</w:t>
      </w:r>
    </w:p>
    <w:p>
      <w:pPr>
        <w:pStyle w:val="ListBullet"/>
        <w:spacing w:after="40"/>
      </w:pPr>
      <w:r>
        <w:rPr>
          <w:sz w:val="21"/>
        </w:rPr>
        <w:t>Led 75 engineers building small-business lending products that originated $2.1B in loans over 4 years.</w:t>
      </w:r>
    </w:p>
    <w:p>
      <w:pPr>
        <w:pStyle w:val="ListBullet"/>
        <w:spacing w:after="40"/>
      </w:pPr>
      <w:r>
        <w:rPr>
          <w:sz w:val="21"/>
        </w:rPr>
        <w:t>Cut credit decisions from 3 days to 4 minutes by automating bank-data ingestion, KYB and underwriting.</w:t>
      </w:r>
    </w:p>
    <w:p>
      <w:pPr>
        <w:pStyle w:val="ListBullet"/>
        <w:spacing w:after="40"/>
      </w:pPr>
      <w:r>
        <w:rPr>
          <w:sz w:val="21"/>
        </w:rPr>
        <w:t>Built the model governance pipeline (validation, drift monitoring, adverse action reason codes) that cleared 2 bank-partner model reviews.</w:t>
      </w:r>
    </w:p>
    <w:p>
      <w:pPr>
        <w:pStyle w:val="ListBullet"/>
        <w:spacing w:after="40"/>
      </w:pPr>
      <w:r>
        <w:rPr>
          <w:sz w:val="21"/>
        </w:rPr>
        <w:t>Earned clean SOC 1 and SOC 2 Type II reports in the first audit cycle, as 3 institutional loan buyers required.</w:t>
      </w:r>
    </w:p>
    <w:p>
      <w:pPr>
        <w:pStyle w:val="ListBullet"/>
        <w:spacing w:after="40"/>
      </w:pPr>
      <w:r>
        <w:rPr>
          <w:sz w:val="21"/>
        </w:rPr>
        <w:t>Scaled the platform through the 2020 Paycheck Protection Program surge, processing 48,000 applications in 6 weeks without downtime.</w:t>
      </w:r>
    </w:p>
    <w:p>
      <w:pPr>
        <w:spacing w:after="20" w:before="0"/>
      </w:pPr>
      <w:r>
        <w:rPr>
          <w:b w:val="0"/>
          <w:i w:val="0"/>
          <w:sz w:val="21"/>
        </w:rPr>
      </w:r>
      <w:r>
        <w:rPr>
          <w:b/>
        </w:rPr>
        <w:t>Director of Engineering, Payments</w:t>
      </w:r>
      <w:r>
        <w:t>, Greywater Savings Bank, Jersey City, NJ</w:t>
      </w:r>
      <w:r>
        <w:rPr>
          <w:color w:val="5B6672"/>
        </w:rPr>
        <w:t xml:space="preserve">    2014-2018</w:t>
      </w:r>
    </w:p>
    <w:p>
      <w:pPr>
        <w:pStyle w:val="ListBullet"/>
        <w:spacing w:after="40"/>
      </w:pPr>
      <w:r>
        <w:rPr>
          <w:sz w:val="21"/>
        </w:rPr>
        <w:t>Managed 40 engineers running the bank's ACH, wire and bill-pay systems, which processed $90B a year.</w:t>
      </w:r>
    </w:p>
    <w:p>
      <w:pPr>
        <w:pStyle w:val="ListBullet"/>
        <w:spacing w:after="40"/>
      </w:pPr>
      <w:r>
        <w:rPr>
          <w:sz w:val="21"/>
        </w:rPr>
        <w:t>Replaced a mainframe ACH engine with a Java service platform, cutting returns-processing errors 80% and shortening batch windows by 3 hours.</w:t>
      </w:r>
    </w:p>
    <w:p>
      <w:pPr>
        <w:pStyle w:val="ListBullet"/>
        <w:spacing w:after="40"/>
      </w:pPr>
      <w:r>
        <w:rPr>
          <w:sz w:val="21"/>
        </w:rPr>
        <w:t>Delivered Same Day ACH to all commercial clients ahead of the September 2016 Nacha phase one effective date.</w:t>
      </w:r>
    </w:p>
    <w:p>
      <w:pPr>
        <w:pStyle w:val="ListBullet"/>
        <w:spacing w:after="40"/>
      </w:pPr>
      <w:r>
        <w:rPr>
          <w:sz w:val="21"/>
        </w:rPr>
        <w:t>Partnered with the BSA/AML team to add real-time sanctions screening to wires, reducing manual review queues 35%.</w:t>
      </w:r>
    </w:p>
    <w:p>
      <w:pPr>
        <w:spacing w:after="20" w:before="0"/>
      </w:pPr>
      <w:r>
        <w:rPr>
          <w:b w:val="0"/>
          <w:i w:val="0"/>
          <w:sz w:val="21"/>
        </w:rPr>
      </w:r>
      <w:r>
        <w:rPr>
          <w:b/>
        </w:rPr>
        <w:t>Senior Software Engineer</w:t>
      </w:r>
      <w:r>
        <w:t>, Ridgecastle Capital Markets, New York, NY</w:t>
      </w:r>
      <w:r>
        <w:rPr>
          <w:color w:val="5B6672"/>
        </w:rPr>
        <w:t xml:space="preserve">    2010-2014</w:t>
      </w:r>
    </w:p>
    <w:p>
      <w:pPr>
        <w:pStyle w:val="ListBullet"/>
        <w:spacing w:after="40"/>
      </w:pPr>
      <w:r>
        <w:rPr>
          <w:sz w:val="21"/>
        </w:rPr>
        <w:t>Built low-latency order routing services in C++ handling 3M equity orders a day at sub-millisecond median latency.</w:t>
      </w:r>
    </w:p>
    <w:p>
      <w:pPr>
        <w:pStyle w:val="ListBullet"/>
        <w:spacing w:after="40"/>
      </w:pPr>
      <w:r>
        <w:rPr>
          <w:sz w:val="21"/>
        </w:rPr>
        <w:t>Automated trade reconciliation with clearing firms, eliminating 20 hours of manual operations work a week.</w:t>
      </w:r>
    </w:p>
    <w:p>
      <w:pPr>
        <w:pStyle w:val="ListBullet"/>
        <w:spacing w:after="40"/>
      </w:pPr>
      <w:r>
        <w:rPr>
          <w:sz w:val="21"/>
        </w:rPr>
        <w:t>Led the move from nightly to intraday risk calculations, giving traders updated position risk every 15 minutes.</w:t>
      </w:r>
    </w:p>
    <w:p>
      <w:pPr>
        <w:spacing w:after="20" w:before="0"/>
      </w:pPr>
      <w:r>
        <w:rPr>
          <w:b w:val="0"/>
          <w:i w:val="0"/>
          <w:sz w:val="21"/>
        </w:rPr>
      </w:r>
      <w:r>
        <w:rPr>
          <w:b/>
        </w:rPr>
        <w:t>Software Engineer</w:t>
      </w:r>
      <w:r>
        <w:t>, Ridgecastle Capital Markets, New York, NY</w:t>
      </w:r>
      <w:r>
        <w:rPr>
          <w:color w:val="5B6672"/>
        </w:rPr>
        <w:t xml:space="preserve">    2008-2010</w:t>
      </w:r>
    </w:p>
    <w:p>
      <w:pPr>
        <w:pStyle w:val="ListBullet"/>
        <w:spacing w:after="40"/>
      </w:pPr>
      <w:r>
        <w:rPr>
          <w:sz w:val="21"/>
        </w:rPr>
        <w:t>Developed market data feed handlers in C++ and Python for 6 equity and options exchanges.</w:t>
      </w:r>
    </w:p>
    <w:p>
      <w:pPr>
        <w:pStyle w:val="ListBullet"/>
        <w:spacing w:after="40"/>
      </w:pPr>
      <w:r>
        <w:rPr>
          <w:sz w:val="21"/>
        </w:rPr>
        <w:t>Wrote the regression test harness that ran on every build and caught 30+ pricing defects before release.</w:t>
      </w:r>
    </w:p>
    <w:p>
      <w:pPr>
        <w:spacing w:after="60" w:before="200"/>
      </w:pPr>
      <w:r>
        <w:rPr>
          <w:b/>
          <w:i w:val="0"/>
          <w:color w:val="1D7A53"/>
          <w:sz w:val="21"/>
        </w:rPr>
        <w:t>EDUCATION</w:t>
      </w:r>
    </w:p>
    <w:p>
      <w:pPr>
        <w:spacing w:after="40" w:before="0"/>
      </w:pPr>
      <w:r>
        <w:rPr>
          <w:b w:val="0"/>
          <w:i w:val="0"/>
          <w:sz w:val="21"/>
        </w:rPr>
        <w:t>B.S., Computer Science, Cornell University, 2008</w:t>
      </w:r>
    </w:p>
    <w:p>
      <w:pPr>
        <w:spacing w:after="60" w:before="200"/>
      </w:pPr>
      <w:r>
        <w:rPr>
          <w:b/>
          <w:i w:val="0"/>
          <w:color w:val="1D7A53"/>
          <w:sz w:val="21"/>
        </w:rPr>
        <w:t>CERTIFICATIONS</w:t>
      </w:r>
    </w:p>
    <w:p>
      <w:pPr>
        <w:spacing w:after="40" w:before="0"/>
      </w:pPr>
      <w:r>
        <w:rPr>
          <w:b w:val="0"/>
          <w:i w:val="0"/>
          <w:sz w:val="21"/>
        </w:rPr>
        <w:t>Certified Information Systems Security Professional (CISSP), ISC2, 2019</w:t>
      </w:r>
    </w:p>
    <w:p>
      <w:pPr>
        <w:spacing w:after="60" w:before="200"/>
      </w:pPr>
      <w:r>
        <w:rPr>
          <w:b/>
          <w:i w:val="0"/>
          <w:color w:val="1D7A53"/>
          <w:sz w:val="21"/>
        </w:rPr>
        <w:t>TECHNICAL SKILLS</w:t>
      </w:r>
    </w:p>
    <w:p>
      <w:pPr>
        <w:spacing w:after="80" w:before="0"/>
      </w:pPr>
      <w:r>
        <w:rPr>
          <w:b w:val="0"/>
          <w:i w:val="0"/>
          <w:sz w:val="21"/>
        </w:rPr>
        <w:t>AWS (multi-region) | Kubernetes | PostgreSQL | Kafka | Go, Java and Python | HashiCorp Vault | Datadog | Snowflake</w:t>
      </w:r>
    </w:p>
    <w:p>
      <w:pPr>
        <w:spacing w:after="60" w:before="200"/>
      </w:pPr>
      <w:r>
        <w:rPr>
          <w:b/>
          <w:i w:val="0"/>
          <w:color w:val="1D7A53"/>
          <w:sz w:val="21"/>
        </w:rPr>
        <w:t>GOVERNANCE AND RISK</w:t>
      </w:r>
    </w:p>
    <w:p>
      <w:pPr>
        <w:pStyle w:val="ListBullet"/>
        <w:spacing w:after="40"/>
      </w:pPr>
      <w:r>
        <w:rPr>
          <w:sz w:val="21"/>
        </w:rPr>
        <w:t>Reports technology and cyber risk to the board risk committee quarterly and leads the technology response to sponsor bank audits and exams</w:t>
      </w:r>
    </w:p>
    <w:p>
      <w:pPr>
        <w:pStyle w:val="ListBullet"/>
        <w:spacing w:after="40"/>
      </w:pPr>
      <w:r>
        <w:rPr>
          <w:sz w:val="21"/>
        </w:rPr>
        <w:t>Member of the model risk committee chaired by the chief risk officer, presenting fraud and credit model performance and remediation plans</w:t>
      </w:r>
    </w:p>
    <w:p>
      <w:pPr>
        <w:spacing w:after="60" w:before="200"/>
      </w:pPr>
      <w:r>
        <w:rPr>
          <w:b/>
          <w:i w:val="0"/>
          <w:color w:val="1D7A53"/>
          <w:sz w:val="21"/>
        </w:rPr>
        <w:t>INDUSTRY INVOLVEMENT</w:t>
      </w:r>
    </w:p>
    <w:p>
      <w:pPr>
        <w:pStyle w:val="ListBullet"/>
        <w:spacing w:after="40"/>
      </w:pPr>
      <w:r>
        <w:rPr>
          <w:sz w:val="21"/>
        </w:rPr>
        <w:t>Panelist, payments industry conference: Building products on instant payment rails, 2025</w:t>
      </w:r>
    </w:p>
    <w:p>
      <w:pPr>
        <w:pStyle w:val="ListBullet"/>
        <w:spacing w:after="40"/>
      </w:pPr>
      <w:r>
        <w:rPr>
          <w:sz w:val="21"/>
        </w:rPr>
        <w:t>Member, payments industry working group on real-time payments fraud, 2024-Present</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Fintech CTO (Payments and Regulated Platforms)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