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Rebecca Lindqvist</w:t>
      </w:r>
    </w:p>
    <w:p>
      <w:pPr>
        <w:spacing w:after="40" w:before="0"/>
      </w:pPr>
      <w:r>
        <w:rPr>
          <w:b/>
          <w:i w:val="0"/>
          <w:color w:val="1D7A53"/>
          <w:sz w:val="23"/>
        </w:rPr>
        <w:t>Chief Financial Officer, CPA</w:t>
      </w:r>
    </w:p>
    <w:p>
      <w:pPr>
        <w:spacing w:after="160" w:before="0"/>
      </w:pPr>
      <w:r>
        <w:rPr>
          <w:b w:val="0"/>
          <w:i w:val="0"/>
          <w:color w:val="5B6672"/>
          <w:sz w:val="19"/>
        </w:rPr>
        <w:t>Minneapolis, MN | rebecca.lindqvist@email.com | (555) 015-6620 | linkedin.com/in/rebeccalindqvist</w:t>
      </w:r>
    </w:p>
    <w:p>
      <w:pPr>
        <w:spacing w:after="60" w:before="200"/>
      </w:pPr>
      <w:r>
        <w:rPr>
          <w:b/>
          <w:i w:val="0"/>
          <w:color w:val="1D7A53"/>
          <w:sz w:val="21"/>
        </w:rPr>
        <w:t>PROFESSIONAL SUMMARY</w:t>
      </w:r>
    </w:p>
    <w:p>
      <w:pPr>
        <w:spacing w:after="80" w:before="0"/>
      </w:pPr>
      <w:r>
        <w:rPr>
          <w:b w:val="0"/>
          <w:i w:val="0"/>
          <w:sz w:val="21"/>
        </w:rPr>
        <w:t>Public company CFO with 20 years in medical technology and industrial finance, including 5 years leading a 210-person global finance organization at a Nasdaq-listed device maker. Leads earnings calls, guidance and investor relations, chairs the disclosure committee and partners with the audit committee on SOX, cybersecurity disclosure and enterprise risk. Former chief accounting officer with deep SEC reporting and technical accounting expertise.</w:t>
      </w:r>
    </w:p>
    <w:p>
      <w:pPr>
        <w:spacing w:after="60" w:before="200"/>
      </w:pPr>
      <w:r>
        <w:rPr>
          <w:b/>
          <w:i w:val="0"/>
          <w:color w:val="1D7A53"/>
          <w:sz w:val="21"/>
        </w:rPr>
        <w:t>SKILLS</w:t>
      </w:r>
    </w:p>
    <w:p>
      <w:pPr>
        <w:spacing w:after="80" w:before="0"/>
      </w:pPr>
      <w:r>
        <w:rPr>
          <w:b w:val="0"/>
          <w:i w:val="0"/>
          <w:sz w:val="21"/>
        </w:rPr>
        <w:t>Earnings guidance and investor relations | SEC reporting (10-K, 10-Q, 8-K, proxy) | SOX 404 and internal controls | Capital markets and capital allocation | Global tax strategy and Pillar Two | FP&amp;A and long-range planning | M&amp;A due diligence and integration | Treasury and foreign exchange risk | Enterprise risk management | Audit committee partnership | Shared services and operating model design | Technical accounting (US GAAP)</w:t>
      </w:r>
    </w:p>
    <w:p>
      <w:pPr>
        <w:spacing w:after="60" w:before="200"/>
      </w:pPr>
      <w:r>
        <w:rPr>
          <w:b/>
          <w:i w:val="0"/>
          <w:color w:val="1D7A53"/>
          <w:sz w:val="21"/>
        </w:rPr>
        <w:t>PROFESSIONAL EXPERIENCE</w:t>
      </w:r>
    </w:p>
    <w:p>
      <w:pPr>
        <w:spacing w:after="20" w:before="0"/>
      </w:pPr>
      <w:r>
        <w:rPr>
          <w:b w:val="0"/>
          <w:i w:val="0"/>
          <w:sz w:val="21"/>
        </w:rPr>
      </w:r>
      <w:r>
        <w:rPr>
          <w:b/>
        </w:rPr>
        <w:t>Chief Financial Officer</w:t>
      </w:r>
      <w:r>
        <w:t>, Arrowmint Medical (Nasdaq-listed medical devices), Minneapolis, MN</w:t>
      </w:r>
      <w:r>
        <w:rPr>
          <w:color w:val="5B6672"/>
        </w:rPr>
        <w:t xml:space="preserve">    2021-Present</w:t>
      </w:r>
    </w:p>
    <w:p>
      <w:pPr>
        <w:pStyle w:val="ListBullet"/>
        <w:spacing w:after="40"/>
      </w:pPr>
      <w:r>
        <w:rPr>
          <w:sz w:val="21"/>
        </w:rPr>
        <w:t>Delivered 18 consecutive quarters of results within or above guidance while annual revenue grew from $1.1B to $1.6B, with 80% of growth organic.</w:t>
      </w:r>
    </w:p>
    <w:p>
      <w:pPr>
        <w:pStyle w:val="ListBullet"/>
        <w:spacing w:after="40"/>
      </w:pPr>
      <w:r>
        <w:rPr>
          <w:sz w:val="21"/>
        </w:rPr>
        <w:t>Issued $500M of convertible senior notes with a capped call, refinancing higher-cost term debt and saving $14M a year in interest expense.</w:t>
      </w:r>
    </w:p>
    <w:p>
      <w:pPr>
        <w:pStyle w:val="ListBullet"/>
        <w:spacing w:after="40"/>
      </w:pPr>
      <w:r>
        <w:rPr>
          <w:sz w:val="21"/>
        </w:rPr>
        <w:t>Designed the capital allocation framework and a $300M share repurchase program, unveiled with long-term targets at the company's first investor day in 2024.</w:t>
      </w:r>
    </w:p>
    <w:p>
      <w:pPr>
        <w:pStyle w:val="ListBullet"/>
        <w:spacing w:after="40"/>
      </w:pPr>
      <w:r>
        <w:rPr>
          <w:sz w:val="21"/>
        </w:rPr>
        <w:t>Raised adjusted operating margin from 14% to 19% through a plant network consolidation and a global shared services center in Poland.</w:t>
      </w:r>
    </w:p>
    <w:p>
      <w:pPr>
        <w:pStyle w:val="ListBullet"/>
        <w:spacing w:after="40"/>
      </w:pPr>
      <w:r>
        <w:rPr>
          <w:sz w:val="21"/>
        </w:rPr>
        <w:t>Prepared the tax function for OECD Pillar Two, modeling exposure in 14 countries and cutting legal entities from 41 to 26.</w:t>
      </w:r>
    </w:p>
    <w:p>
      <w:pPr>
        <w:pStyle w:val="ListBullet"/>
        <w:spacing w:after="40"/>
      </w:pPr>
      <w:r>
        <w:rPr>
          <w:sz w:val="21"/>
        </w:rPr>
        <w:t>Implemented ASU 2023-07 expanded segment disclosures and SEC cybersecurity incident disclosure controls with the CISO and general counsel.</w:t>
      </w:r>
    </w:p>
    <w:p>
      <w:pPr>
        <w:spacing w:after="20" w:before="0"/>
      </w:pPr>
      <w:r>
        <w:rPr>
          <w:b w:val="0"/>
          <w:i w:val="0"/>
          <w:sz w:val="21"/>
        </w:rPr>
      </w:r>
      <w:r>
        <w:rPr>
          <w:b/>
        </w:rPr>
        <w:t>Chief Accounting Officer and Corporate Controller</w:t>
      </w:r>
      <w:r>
        <w:t>, Kettleby Instruments (NYSE-listed, $2.3B revenue), Milwaukee, WI</w:t>
      </w:r>
      <w:r>
        <w:rPr>
          <w:color w:val="5B6672"/>
        </w:rPr>
        <w:t xml:space="preserve">    2016-2021</w:t>
      </w:r>
    </w:p>
    <w:p>
      <w:pPr>
        <w:pStyle w:val="ListBullet"/>
        <w:spacing w:after="40"/>
      </w:pPr>
      <w:r>
        <w:rPr>
          <w:sz w:val="21"/>
        </w:rPr>
        <w:t>Owned SEC reporting and filed every 10-K and 10-Q on schedule over 5 years with no restatements or late filings.</w:t>
      </w:r>
    </w:p>
    <w:p>
      <w:pPr>
        <w:pStyle w:val="ListBullet"/>
        <w:spacing w:after="40"/>
      </w:pPr>
      <w:r>
        <w:rPr>
          <w:sz w:val="21"/>
        </w:rPr>
        <w:t>Remediated a material weakness in inventory controls inherited at hire, earning a clean SOX 404(b) opinion from the external auditor within 12 months.</w:t>
      </w:r>
    </w:p>
    <w:p>
      <w:pPr>
        <w:pStyle w:val="ListBullet"/>
        <w:spacing w:after="40"/>
      </w:pPr>
      <w:r>
        <w:rPr>
          <w:sz w:val="21"/>
        </w:rPr>
        <w:t>Shortened the quarterly close from 10 to 6 business days with BlackLine reconciliations, a single global close calendar and regional close leads.</w:t>
      </w:r>
    </w:p>
    <w:p>
      <w:pPr>
        <w:pStyle w:val="ListBullet"/>
        <w:spacing w:after="40"/>
      </w:pPr>
      <w:r>
        <w:rPr>
          <w:sz w:val="21"/>
        </w:rPr>
        <w:t>Led ASC 842 lease accounting adoption across 180 real estate and equipment leases in 9 countries, with no audit adjustments at year-end.</w:t>
      </w:r>
    </w:p>
    <w:p>
      <w:pPr>
        <w:pStyle w:val="ListBullet"/>
        <w:spacing w:after="40"/>
      </w:pPr>
      <w:r>
        <w:rPr>
          <w:sz w:val="21"/>
        </w:rPr>
        <w:t>Directed accounting due diligence and purchase price allocations for 4 acquisitions totaling $620M, including a carve-out from a European competitor.</w:t>
      </w:r>
    </w:p>
    <w:p>
      <w:pPr>
        <w:spacing w:after="20" w:before="0"/>
      </w:pPr>
      <w:r>
        <w:rPr>
          <w:b w:val="0"/>
          <w:i w:val="0"/>
          <w:sz w:val="21"/>
        </w:rPr>
      </w:r>
      <w:r>
        <w:rPr>
          <w:b/>
        </w:rPr>
        <w:t>Director, SEC Reporting and Technical Accounting</w:t>
      </w:r>
      <w:r>
        <w:t>, Ostlund Packaging (Nasdaq-listed, $900M revenue), St. Paul, MN</w:t>
      </w:r>
      <w:r>
        <w:rPr>
          <w:color w:val="5B6672"/>
        </w:rPr>
        <w:t xml:space="preserve">    2011-2016</w:t>
      </w:r>
    </w:p>
    <w:p>
      <w:pPr>
        <w:pStyle w:val="ListBullet"/>
        <w:spacing w:after="40"/>
      </w:pPr>
      <w:r>
        <w:rPr>
          <w:sz w:val="21"/>
        </w:rPr>
        <w:t>Prepared 10-K, 10-Q, proxy and 8-K filings and earnings release tables, managing a team of 4 reporting accountants and the XBRL process.</w:t>
      </w:r>
    </w:p>
    <w:p>
      <w:pPr>
        <w:pStyle w:val="ListBullet"/>
        <w:spacing w:after="40"/>
      </w:pPr>
      <w:r>
        <w:rPr>
          <w:sz w:val="21"/>
        </w:rPr>
        <w:t>Wrote technical accounting memos on revenue, goodwill impairment and debt modifications, all accepted by the external auditor without adjustment.</w:t>
      </w:r>
    </w:p>
    <w:p>
      <w:pPr>
        <w:pStyle w:val="ListBullet"/>
        <w:spacing w:after="40"/>
      </w:pPr>
      <w:r>
        <w:rPr>
          <w:sz w:val="21"/>
        </w:rPr>
        <w:t>Closed 2 SEC comment letters on segment and non-GAAP disclosures without amending any filing.</w:t>
      </w:r>
    </w:p>
    <w:p>
      <w:pPr>
        <w:pStyle w:val="ListBullet"/>
        <w:spacing w:after="40"/>
      </w:pPr>
      <w:r>
        <w:rPr>
          <w:sz w:val="21"/>
        </w:rPr>
        <w:t>Led ASC 606 implementation planning, inventorying 300 customer contracts and flagging 2 changes in revenue timing for the audit committee.</w:t>
      </w:r>
    </w:p>
    <w:p>
      <w:pPr>
        <w:pStyle w:val="ListBullet"/>
        <w:spacing w:after="40"/>
      </w:pPr>
      <w:r>
        <w:rPr>
          <w:sz w:val="21"/>
        </w:rPr>
        <w:t>Built a disclosure checklist and sub-certification process for 35 finance and operations leaders ahead of each quarterly filing.</w:t>
      </w:r>
    </w:p>
    <w:p>
      <w:pPr>
        <w:spacing w:after="20" w:before="0"/>
      </w:pPr>
      <w:r>
        <w:rPr>
          <w:b w:val="0"/>
          <w:i w:val="0"/>
          <w:sz w:val="21"/>
        </w:rPr>
      </w:r>
      <w:r>
        <w:rPr>
          <w:b/>
        </w:rPr>
        <w:t>Audit Associate, then Audit Manager</w:t>
      </w:r>
      <w:r>
        <w:t>, Thorsby Lund LLP, Minneapolis, MN</w:t>
      </w:r>
      <w:r>
        <w:rPr>
          <w:color w:val="5B6672"/>
        </w:rPr>
        <w:t xml:space="preserve">    2006-2011</w:t>
      </w:r>
    </w:p>
    <w:p>
      <w:pPr>
        <w:pStyle w:val="ListBullet"/>
        <w:spacing w:after="40"/>
      </w:pPr>
      <w:r>
        <w:rPr>
          <w:sz w:val="21"/>
        </w:rPr>
        <w:t>Managed integrated SOX audits of public medical device and industrial clients with revenue from $300M to $3B.</w:t>
      </w:r>
    </w:p>
    <w:p>
      <w:pPr>
        <w:pStyle w:val="ListBullet"/>
        <w:spacing w:after="40"/>
      </w:pPr>
      <w:r>
        <w:rPr>
          <w:sz w:val="21"/>
        </w:rPr>
        <w:t>Presented audit findings and control recommendations to 4 client audit committees each year.</w:t>
      </w:r>
    </w:p>
    <w:p>
      <w:pPr>
        <w:pStyle w:val="ListBullet"/>
        <w:spacing w:after="40"/>
      </w:pPr>
      <w:r>
        <w:rPr>
          <w:sz w:val="21"/>
        </w:rPr>
        <w:t>Coached 15 staff auditors through busy season reviews and CPA exam preparation, building the office's medtech audit bench.</w:t>
      </w:r>
    </w:p>
    <w:p>
      <w:pPr>
        <w:spacing w:after="60" w:before="200"/>
      </w:pPr>
      <w:r>
        <w:rPr>
          <w:b/>
          <w:i w:val="0"/>
          <w:color w:val="1D7A53"/>
          <w:sz w:val="21"/>
        </w:rPr>
        <w:t>EDUCATION</w:t>
      </w:r>
    </w:p>
    <w:p>
      <w:pPr>
        <w:spacing w:after="40" w:before="0"/>
      </w:pPr>
      <w:r>
        <w:rPr>
          <w:b w:val="0"/>
          <w:i w:val="0"/>
          <w:sz w:val="21"/>
        </w:rPr>
        <w:t>Master of Accountancy (MAcc) and B.S.B. in Accounting, University of Minnesota, Carlson School of Management, 2006</w:t>
      </w:r>
    </w:p>
    <w:p>
      <w:pPr>
        <w:spacing w:after="60" w:before="200"/>
      </w:pPr>
      <w:r>
        <w:rPr>
          <w:b/>
          <w:i w:val="0"/>
          <w:color w:val="1D7A53"/>
          <w:sz w:val="21"/>
        </w:rPr>
        <w:t>CERTIFICATIONS</w:t>
      </w:r>
    </w:p>
    <w:p>
      <w:pPr>
        <w:spacing w:after="40" w:before="0"/>
      </w:pPr>
      <w:r>
        <w:rPr>
          <w:b w:val="0"/>
          <w:i w:val="0"/>
          <w:sz w:val="21"/>
        </w:rPr>
        <w:t>Certified Public Accountant (CPA), Minnesota</w:t>
      </w:r>
    </w:p>
    <w:p>
      <w:pPr>
        <w:spacing w:after="40" w:before="0"/>
      </w:pPr>
      <w:r>
        <w:rPr>
          <w:b w:val="0"/>
          <w:i w:val="0"/>
          <w:sz w:val="21"/>
        </w:rPr>
        <w:t>NACD Directorship Certification, National Association of Corporate Directors, 2023</w:t>
      </w:r>
    </w:p>
    <w:p>
      <w:pPr>
        <w:spacing w:after="60" w:before="200"/>
      </w:pPr>
      <w:r>
        <w:rPr>
          <w:b/>
          <w:i w:val="0"/>
          <w:color w:val="1D7A53"/>
          <w:sz w:val="21"/>
        </w:rPr>
        <w:t>TECHNICAL SKILLS</w:t>
      </w:r>
    </w:p>
    <w:p>
      <w:pPr>
        <w:spacing w:after="80" w:before="0"/>
      </w:pPr>
      <w:r>
        <w:rPr>
          <w:b w:val="0"/>
          <w:i w:val="0"/>
          <w:sz w:val="21"/>
        </w:rPr>
        <w:t>Oracle Fusion Cloud ERP | OneStream | BlackLine | Workiva | Kyriba | Power BI</w:t>
      </w:r>
    </w:p>
    <w:p>
      <w:pPr>
        <w:spacing w:after="60" w:before="200"/>
      </w:pPr>
      <w:r>
        <w:rPr>
          <w:b/>
          <w:i w:val="0"/>
          <w:color w:val="1D7A53"/>
          <w:sz w:val="21"/>
        </w:rPr>
        <w:t>INVESTOR RELATIONS</w:t>
      </w:r>
    </w:p>
    <w:p>
      <w:pPr>
        <w:pStyle w:val="ListBullet"/>
        <w:spacing w:after="40"/>
      </w:pPr>
      <w:r>
        <w:rPr>
          <w:sz w:val="21"/>
        </w:rPr>
        <w:t>Host quarterly earnings calls and 60+ investor meetings a year alongside the CEO</w:t>
      </w:r>
    </w:p>
    <w:p>
      <w:pPr>
        <w:pStyle w:val="ListBullet"/>
        <w:spacing w:after="40"/>
      </w:pPr>
      <w:r>
        <w:rPr>
          <w:sz w:val="21"/>
        </w:rPr>
        <w:t>Grew sell-side analyst coverage from 7 to 12 firms between 2021 and 2025</w:t>
      </w:r>
    </w:p>
    <w:p>
      <w:pPr>
        <w:spacing w:after="60" w:before="200"/>
      </w:pPr>
      <w:r>
        <w:rPr>
          <w:b/>
          <w:i w:val="0"/>
          <w:color w:val="1D7A53"/>
          <w:sz w:val="21"/>
        </w:rPr>
        <w:t>SELECTED INITIATIVES</w:t>
      </w:r>
    </w:p>
    <w:p>
      <w:pPr>
        <w:pStyle w:val="ListBullet"/>
        <w:spacing w:after="40"/>
      </w:pPr>
      <w:r>
        <w:rPr>
          <w:sz w:val="21"/>
        </w:rPr>
        <w:t>Executive sponsor of a 2023 ERP consolidation from 3 legacy systems to Oracle Fusion Cloud ERP</w:t>
      </w:r>
    </w:p>
    <w:p>
      <w:pPr>
        <w:pStyle w:val="ListBullet"/>
        <w:spacing w:after="40"/>
      </w:pPr>
      <w:r>
        <w:rPr>
          <w:sz w:val="21"/>
        </w:rPr>
        <w:t>Launched a finance automation program for invoice matching and cash application, absorbing 25% volume growth with flat headcount</w:t>
      </w:r>
    </w:p>
    <w:p>
      <w:pPr>
        <w:spacing w:after="60" w:before="200"/>
      </w:pPr>
      <w:r>
        <w:rPr>
          <w:b/>
          <w:i w:val="0"/>
          <w:color w:val="1D7A53"/>
          <w:sz w:val="21"/>
        </w:rPr>
        <w:t>BOARD AND AFFILIATIONS</w:t>
      </w:r>
    </w:p>
    <w:p>
      <w:pPr>
        <w:pStyle w:val="ListBullet"/>
        <w:spacing w:after="40"/>
      </w:pPr>
      <w:r>
        <w:rPr>
          <w:sz w:val="21"/>
        </w:rPr>
        <w:t>Independent director and audit committee chair, private Minnesota medical device startup, 2022-Present</w:t>
      </w:r>
    </w:p>
    <w:p>
      <w:pPr>
        <w:pStyle w:val="ListBullet"/>
        <w:spacing w:after="40"/>
      </w:pPr>
      <w:r>
        <w:rPr>
          <w:sz w:val="21"/>
        </w:rPr>
        <w:t>Member, Financial Executives International (FEI)</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Company Chief Financial Officer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