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Gregory Haddad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Financial Officer, CPA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gregory.haddad@email.com | (555) 016-3309 | linkedin.com/in/gregoryhaddad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Private equity-backed CFO with 20 years in finance, including 9 as CFO of sponsor-owned industrial and business services companies through acquisition, buy-and-build growth and exit. Builds sponsor-grade reporting and runs it monthly: lender packages, KPI dashboards and an EBITDA bridge the board trusts. Partners with branch and operating leaders on pricing, working capital and labor productivity.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Value creation planning | 13-week cash flow | Buy-and-build integration | Lender and covenant management | Refinancing and recapitalization | Sell-side readiness and QoE | EBITDA bridges and KPIs | Working capital optimization | ERP consolidation (NetSuite)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Financial Officer</w:t>
      </w:r>
      <w:r>
        <w:t>, Keelson Facility Services (PE-backed commercial facility services platform), Charlotte, NC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Delivered the 100-day plan after the platform acquisition: 13-week cash flow, weekly flash reporting, branch-level profitability and a new close calendar.</w:t>
      </w:r>
    </w:p>
    <w:p>
      <w:pPr>
        <w:pStyle w:val="ListBullet"/>
        <w:spacing w:after="40"/>
      </w:pPr>
      <w:r>
        <w:rPr>
          <w:sz w:val="21"/>
        </w:rPr>
        <w:t>Integrated 9 add-on acquisitions in 4 years, growing revenue from $180M to $460M and adjusted EBITDA from $24M to $71M across 14 states.</w:t>
      </w:r>
    </w:p>
    <w:p>
      <w:pPr>
        <w:pStyle w:val="ListBullet"/>
        <w:spacing w:after="40"/>
      </w:pPr>
      <w:r>
        <w:rPr>
          <w:sz w:val="21"/>
        </w:rPr>
        <w:t>Moved every add-on onto one NetSuite instance within 90 days of close, cutting the consolidated monthly close from 20 to 7 business days.</w:t>
      </w:r>
    </w:p>
    <w:p>
      <w:pPr>
        <w:pStyle w:val="ListBullet"/>
        <w:spacing w:after="40"/>
      </w:pPr>
      <w:r>
        <w:rPr>
          <w:sz w:val="21"/>
        </w:rPr>
        <w:t>Refinanced into a $425M unitranche with a delayed-draw tranche, funding 5 add-ons without new sponsor equity and lowering pricing 75 basis points.</w:t>
      </w:r>
    </w:p>
    <w:p>
      <w:pPr>
        <w:pStyle w:val="ListBullet"/>
        <w:spacing w:after="40"/>
      </w:pPr>
      <w:r>
        <w:rPr>
          <w:sz w:val="21"/>
        </w:rPr>
        <w:t>Released $28M of cash by cutting DSO from 68 to 49 days through centralized billing, earlier invoicing and a dedicated collections team.</w:t>
      </w:r>
    </w:p>
    <w:p>
      <w:pPr>
        <w:pStyle w:val="ListBullet"/>
        <w:spacing w:after="40"/>
      </w:pPr>
      <w:r>
        <w:rPr>
          <w:sz w:val="21"/>
        </w:rPr>
        <w:t>Built exit-ready reporting: audited GAAP financials, a monthly KPI pack and a quality-of-earnings-ready data set, reviewed with the sponsor each quarter.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Financial Officer</w:t>
      </w:r>
      <w:r>
        <w:t>, Granite Loop Packaging (sponsor-owned, $210M revenue), Greenville, SC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Joined during a covenant default and negotiated a waiver and amendment with a 6-lender bank group within 60 days of starting.</w:t>
      </w:r>
    </w:p>
    <w:p>
      <w:pPr>
        <w:pStyle w:val="ListBullet"/>
        <w:spacing w:after="40"/>
      </w:pPr>
      <w:r>
        <w:rPr>
          <w:sz w:val="21"/>
        </w:rPr>
        <w:t>Closed 2 underperforming plants and renegotiated resin pass-through pricing with top customers, lifting EBITDA margin from 7% to 13% in 30 months.</w:t>
      </w:r>
    </w:p>
    <w:p>
      <w:pPr>
        <w:pStyle w:val="ListBullet"/>
        <w:spacing w:after="40"/>
      </w:pPr>
      <w:r>
        <w:rPr>
          <w:sz w:val="21"/>
        </w:rPr>
        <w:t>Launched SKU profitability reports that cut 400 low-margin SKUs and freed capacity on 3 lines.</w:t>
      </w:r>
    </w:p>
    <w:p>
      <w:pPr>
        <w:pStyle w:val="ListBullet"/>
        <w:spacing w:after="40"/>
      </w:pPr>
      <w:r>
        <w:rPr>
          <w:sz w:val="21"/>
        </w:rPr>
        <w:t>Led the 2021 sale to a strategic buyer at 11.5x EBITDA, returning 2.8x invested capital.</w:t>
      </w:r>
    </w:p>
    <w:p>
      <w:pPr>
        <w:pStyle w:val="ListBullet"/>
        <w:spacing w:after="40"/>
      </w:pPr>
      <w:r>
        <w:rPr>
          <w:sz w:val="21"/>
        </w:rPr>
        <w:t>Upgraded the 22-person finance team, hiring a controller, FP&amp;A lead and 3 plant controllers in year 1.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Finance and Corporate Development</w:t>
      </w:r>
      <w:r>
        <w:t>, Yadkin Bay Building Products (PE-backed, $350M revenue), Winston-Salem, NC</w:t>
      </w:r>
      <w:r>
        <w:rPr>
          <w:color w:val="5B6672"/>
        </w:rPr>
        <w:t xml:space="preserve">    2012-2017</w:t>
      </w:r>
    </w:p>
    <w:p>
      <w:pPr>
        <w:pStyle w:val="ListBullet"/>
        <w:spacing w:after="40"/>
      </w:pPr>
      <w:r>
        <w:rPr>
          <w:sz w:val="21"/>
        </w:rPr>
        <w:t>Screened 30+ add-on targets with the sponsor's deal team and closed 5 acquisitions worth $160M at an average purchase multiple of 7x EBITDA.</w:t>
      </w:r>
    </w:p>
    <w:p>
      <w:pPr>
        <w:pStyle w:val="ListBullet"/>
        <w:spacing w:after="40"/>
      </w:pPr>
      <w:r>
        <w:rPr>
          <w:sz w:val="21"/>
        </w:rPr>
        <w:t>Structured a $120M dividend recapitalization in 2015 with the sponsor and lenders, returning 60% of original equity within 3 years of the buyout.</w:t>
      </w:r>
    </w:p>
    <w:p>
      <w:pPr>
        <w:pStyle w:val="ListBullet"/>
        <w:spacing w:after="40"/>
      </w:pPr>
      <w:r>
        <w:rPr>
          <w:sz w:val="21"/>
        </w:rPr>
        <w:t>Introduced monthly operating reviews with plant managers that cut scrap and overtime costs by $6M over 2 years across 5 plants in 3 states.</w:t>
      </w:r>
    </w:p>
    <w:p>
      <w:pPr>
        <w:pStyle w:val="ListBullet"/>
        <w:spacing w:after="40"/>
      </w:pPr>
      <w:r>
        <w:rPr>
          <w:sz w:val="21"/>
        </w:rPr>
        <w:t>Built the lender compliance package and quarterly covenant model, with no covenant breaches across 2 credit agreements over 5 years.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Associate, then Manager, Transaction Advisory Services</w:t>
      </w:r>
      <w:r>
        <w:t>, Ellery Crane LLP, Charlotte, NC</w:t>
      </w:r>
      <w:r>
        <w:rPr>
          <w:color w:val="5B6672"/>
        </w:rPr>
        <w:t xml:space="preserve">    2006-2012</w:t>
      </w:r>
    </w:p>
    <w:p>
      <w:pPr>
        <w:pStyle w:val="ListBullet"/>
        <w:spacing w:after="40"/>
      </w:pPr>
      <w:r>
        <w:rPr>
          <w:sz w:val="21"/>
        </w:rPr>
        <w:t>Performed and later led buy-side quality of earnings reviews on 40+ middle-market deals for private equity clients.</w:t>
      </w:r>
    </w:p>
    <w:p>
      <w:pPr>
        <w:pStyle w:val="ListBullet"/>
        <w:spacing w:after="40"/>
      </w:pPr>
      <w:r>
        <w:rPr>
          <w:sz w:val="21"/>
        </w:rPr>
        <w:t>Identified $12M of EBITDA adjustments on one healthcare services deal, supporting a lower negotiated purchase price for the private equity buyer.</w:t>
      </w:r>
    </w:p>
    <w:p>
      <w:pPr>
        <w:pStyle w:val="ListBullet"/>
        <w:spacing w:after="40"/>
      </w:pPr>
      <w:r>
        <w:rPr>
          <w:sz w:val="21"/>
        </w:rPr>
        <w:t>Built net working capital peg analyses and debt-like item schedules used by client counsel in purchase agreement negotiations and closing disputes.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University of North Carolina at Chapel Hill, Kenan-Flagler Business School, 2011</w:t>
      </w:r>
    </w:p>
    <w:p>
      <w:pPr>
        <w:spacing w:after="40" w:before="0"/>
      </w:pPr>
      <w:r>
        <w:rPr>
          <w:b w:val="0"/>
          <w:i w:val="0"/>
          <w:sz w:val="21"/>
        </w:rPr>
        <w:t>B.S., Accounting, University of North Carolina at Charlotte, 2006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Public Accountant (CPA), North Carolina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NetSuite | Workday Adaptive Planning | Power BI | Datasite | BILL | Excel (LBO and 13-week cash flow models)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SELECTED ADD-ON INTEGRATIONS (KEELSON)</w:t>
      </w:r>
    </w:p>
    <w:p>
      <w:pPr>
        <w:pStyle w:val="ListBullet"/>
        <w:spacing w:after="40"/>
      </w:pPr>
      <w:r>
        <w:rPr>
          <w:sz w:val="21"/>
        </w:rPr>
        <w:t>Commercial HVAC service, Raleigh: $38M revenue, on NetSuite and central payroll in 75 days</w:t>
      </w:r>
    </w:p>
    <w:p>
      <w:pPr>
        <w:pStyle w:val="ListBullet"/>
        <w:spacing w:after="40"/>
      </w:pPr>
      <w:r>
        <w:rPr>
          <w:sz w:val="21"/>
        </w:rPr>
        <w:t>Fire and life safety inspection, Atlanta: $22M revenue, billing centralized in 60 days</w:t>
      </w:r>
    </w:p>
    <w:p>
      <w:pPr>
        <w:pStyle w:val="ListBullet"/>
        <w:spacing w:after="40"/>
      </w:pPr>
      <w:r>
        <w:rPr>
          <w:sz w:val="21"/>
        </w:rPr>
        <w:t>Building automation controls, Nashville: $41M revenue, earnout tracked monthly to plan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Member, Association for Corporate Growth (ACG), Charlotte chapter</w:t>
      </w:r>
    </w:p>
    <w:p>
      <w:pPr>
        <w:pStyle w:val="ListBullet"/>
        <w:spacing w:after="40"/>
      </w:pPr>
      <w:r>
        <w:rPr>
          <w:sz w:val="21"/>
        </w:rPr>
        <w:t>Guest speaker on PE-backed finance careers for regional university accounting programs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Equity-Backed CFO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