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i w:val="0"/>
          <w:sz w:val="36"/>
        </w:rPr>
        <w:t>Monica Alvarado</w:t>
      </w:r>
    </w:p>
    <w:p>
      <w:pPr>
        <w:spacing w:after="40" w:before="0"/>
      </w:pPr>
      <w:r>
        <w:rPr>
          <w:b/>
          <w:i w:val="0"/>
          <w:color w:val="1D7A53"/>
          <w:sz w:val="23"/>
        </w:rPr>
        <w:t>Chief Financial Officer, CPA</w:t>
      </w:r>
    </w:p>
    <w:p>
      <w:pPr>
        <w:spacing w:after="160" w:before="0"/>
      </w:pPr>
      <w:r>
        <w:rPr>
          <w:b w:val="0"/>
          <w:i w:val="0"/>
          <w:color w:val="5B6672"/>
          <w:sz w:val="19"/>
        </w:rPr>
        <w:t>Washington, DC | monica.alvarado@email.com | (555) 017-2254 | linkedin.com/in/monicaalvarado</w:t>
      </w:r>
    </w:p>
    <w:p>
      <w:pPr>
        <w:spacing w:after="60" w:before="200"/>
      </w:pPr>
      <w:r>
        <w:rPr>
          <w:b/>
          <w:i w:val="0"/>
          <w:color w:val="1D7A53"/>
          <w:sz w:val="21"/>
        </w:rPr>
        <w:t>PROFESSIONAL SUMMARY</w:t>
      </w:r>
    </w:p>
    <w:p>
      <w:pPr>
        <w:spacing w:after="80" w:before="0"/>
      </w:pPr>
      <w:r>
        <w:rPr>
          <w:b w:val="0"/>
          <w:i w:val="0"/>
          <w:sz w:val="21"/>
        </w:rPr>
        <w:t>Nonprofit CFO with 19 years in mission-driven finance, leading finance, grants management, HR operations and IT for a $140M national literacy organization funded by federal awards, foundations and individual donors. Reports to the CEO and the board finance and audit committees, owns the Single Audit and Form 990, and builds reserve and investment policies that keep programs steady through funding swings.</w:t>
      </w:r>
    </w:p>
    <w:p>
      <w:pPr>
        <w:spacing w:after="60" w:before="200"/>
      </w:pPr>
      <w:r>
        <w:rPr>
          <w:b/>
          <w:i w:val="0"/>
          <w:color w:val="1D7A53"/>
          <w:sz w:val="21"/>
        </w:rPr>
        <w:t>SKILLS</w:t>
      </w:r>
    </w:p>
    <w:p>
      <w:pPr>
        <w:spacing w:after="80" w:before="0"/>
      </w:pPr>
      <w:r>
        <w:rPr>
          <w:b w:val="0"/>
          <w:i w:val="0"/>
          <w:sz w:val="21"/>
        </w:rPr>
        <w:t>Uniform Guidance (2 CFR 200) compliance | Single Audit management | Grants and contracts accounting | Indirect cost rates (NICRA) | Form 990 and 990-T oversight | Restricted funds and net asset reporting | Reserves and liquidity policy | Endowment oversight (UPMIFA) | Budgeting and multi-year forecasting | Board finance and audit committee support | Medicaid and government contract billing | Finance systems implementation</w:t>
      </w:r>
    </w:p>
    <w:p>
      <w:pPr>
        <w:spacing w:after="60" w:before="200"/>
      </w:pPr>
      <w:r>
        <w:rPr>
          <w:b/>
          <w:i w:val="0"/>
          <w:color w:val="1D7A53"/>
          <w:sz w:val="21"/>
        </w:rPr>
        <w:t>PROFESSIONAL EXPERIENCE</w:t>
      </w:r>
    </w:p>
    <w:p>
      <w:pPr>
        <w:spacing w:after="20" w:before="0"/>
      </w:pPr>
      <w:r>
        <w:rPr>
          <w:b w:val="0"/>
          <w:i w:val="0"/>
          <w:sz w:val="21"/>
        </w:rPr>
      </w:r>
      <w:r>
        <w:rPr>
          <w:b/>
        </w:rPr>
        <w:t>Chief Financial Officer</w:t>
      </w:r>
      <w:r>
        <w:t>, Quillmere Literacy Alliance (national education nonprofit), Washington, DC</w:t>
      </w:r>
      <w:r>
        <w:rPr>
          <w:color w:val="5B6672"/>
        </w:rPr>
        <w:t xml:space="preserve">    2020-Present</w:t>
      </w:r>
    </w:p>
    <w:p>
      <w:pPr>
        <w:pStyle w:val="ListBullet"/>
        <w:spacing w:after="40"/>
      </w:pPr>
      <w:r>
        <w:rPr>
          <w:sz w:val="21"/>
        </w:rPr>
        <w:t>Delivered 5 consecutive Single Audits with no findings across $58M a year in federal awards and 40 subrecipients.</w:t>
      </w:r>
    </w:p>
    <w:p>
      <w:pPr>
        <w:pStyle w:val="ListBullet"/>
        <w:spacing w:after="40"/>
      </w:pPr>
      <w:r>
        <w:rPr>
          <w:sz w:val="21"/>
        </w:rPr>
        <w:t>Secured the organization's first negotiated indirect cost rate agreement (NICRA), recovering $3.2M a year in indirect costs.</w:t>
      </w:r>
    </w:p>
    <w:p>
      <w:pPr>
        <w:pStyle w:val="ListBullet"/>
        <w:spacing w:after="40"/>
      </w:pPr>
      <w:r>
        <w:rPr>
          <w:sz w:val="21"/>
        </w:rPr>
        <w:t>Grew operating reserves from 2 to 4 months of expenses with a board-approved reserves policy and surplus targets.</w:t>
      </w:r>
    </w:p>
    <w:p>
      <w:pPr>
        <w:pStyle w:val="ListBullet"/>
        <w:spacing w:after="40"/>
      </w:pPr>
      <w:r>
        <w:rPr>
          <w:sz w:val="21"/>
        </w:rPr>
        <w:t>Modeled 3 funding scenarios when a major federal grant was paused in 2025, keeping 90% of program staff funded through foundation bridge grants.</w:t>
      </w:r>
    </w:p>
    <w:p>
      <w:pPr>
        <w:pStyle w:val="ListBullet"/>
        <w:spacing w:after="40"/>
      </w:pPr>
      <w:r>
        <w:rPr>
          <w:sz w:val="21"/>
        </w:rPr>
        <w:t>Replaced legacy accounting with Sage Intacct linked to Raiser's Edge NXT, cutting the monthly close from 25 to 10 days.</w:t>
      </w:r>
    </w:p>
    <w:p>
      <w:pPr>
        <w:pStyle w:val="ListBullet"/>
        <w:spacing w:after="40"/>
      </w:pPr>
      <w:r>
        <w:rPr>
          <w:sz w:val="21"/>
        </w:rPr>
        <w:t>Updated procurement, subrecipient monitoring and equipment policies for the 2024 Uniform Guidance revisions.</w:t>
      </w:r>
    </w:p>
    <w:p>
      <w:pPr>
        <w:spacing w:after="20" w:before="0"/>
      </w:pPr>
      <w:r>
        <w:rPr>
          <w:b w:val="0"/>
          <w:i w:val="0"/>
          <w:sz w:val="21"/>
        </w:rPr>
      </w:r>
      <w:r>
        <w:rPr>
          <w:b/>
        </w:rPr>
        <w:t>Vice President of Finance and Controller</w:t>
      </w:r>
      <w:r>
        <w:t>, Sallowfield Family Services (human services, $62M budget), Baltimore, MD</w:t>
      </w:r>
      <w:r>
        <w:rPr>
          <w:color w:val="5B6672"/>
        </w:rPr>
        <w:t xml:space="preserve">    2015-2020</w:t>
      </w:r>
    </w:p>
    <w:p>
      <w:pPr>
        <w:pStyle w:val="ListBullet"/>
        <w:spacing w:after="40"/>
      </w:pPr>
      <w:r>
        <w:rPr>
          <w:sz w:val="21"/>
        </w:rPr>
        <w:t>Managed accounting, budgeting and payroll for 900 staff across 30 Medicaid and state-funded programs.</w:t>
      </w:r>
    </w:p>
    <w:p>
      <w:pPr>
        <w:pStyle w:val="ListBullet"/>
        <w:spacing w:after="40"/>
      </w:pPr>
      <w:r>
        <w:rPr>
          <w:sz w:val="21"/>
        </w:rPr>
        <w:t>Cut Medicaid billing denials from 12% to 4% by rebuilding the billing workflow with program directors and IT.</w:t>
      </w:r>
    </w:p>
    <w:p>
      <w:pPr>
        <w:pStyle w:val="ListBullet"/>
        <w:spacing w:after="40"/>
      </w:pPr>
      <w:r>
        <w:rPr>
          <w:sz w:val="21"/>
        </w:rPr>
        <w:t>Built program-level cost allocation that exposed 4 deficit programs and supported $2.1M in higher state contract rates.</w:t>
      </w:r>
    </w:p>
    <w:p>
      <w:pPr>
        <w:pStyle w:val="ListBullet"/>
        <w:spacing w:after="40"/>
      </w:pPr>
      <w:r>
        <w:rPr>
          <w:sz w:val="21"/>
        </w:rPr>
        <w:t>Closed $9M of tax-exempt bond financing through a state conduit issuer to renovate 2 residential treatment facilities.</w:t>
      </w:r>
    </w:p>
    <w:p>
      <w:pPr>
        <w:pStyle w:val="ListBullet"/>
        <w:spacing w:after="40"/>
      </w:pPr>
      <w:r>
        <w:rPr>
          <w:sz w:val="21"/>
        </w:rPr>
        <w:t>Led adoption of ASU 2016-14 net asset reporting and redesigned the board's quarterly financial statements around it.</w:t>
      </w:r>
    </w:p>
    <w:p>
      <w:pPr>
        <w:spacing w:after="20" w:before="0"/>
      </w:pPr>
      <w:r>
        <w:rPr>
          <w:b w:val="0"/>
          <w:i w:val="0"/>
          <w:sz w:val="21"/>
        </w:rPr>
      </w:r>
      <w:r>
        <w:rPr>
          <w:b/>
        </w:rPr>
        <w:t>Director of Finance</w:t>
      </w:r>
      <w:r>
        <w:t>, Foxhall Arts Council (arts nonprofit, $14M budget), Washington, DC</w:t>
      </w:r>
      <w:r>
        <w:rPr>
          <w:color w:val="5B6672"/>
        </w:rPr>
        <w:t xml:space="preserve">    2011-2015</w:t>
      </w:r>
    </w:p>
    <w:p>
      <w:pPr>
        <w:pStyle w:val="ListBullet"/>
        <w:spacing w:after="40"/>
      </w:pPr>
      <w:r>
        <w:rPr>
          <w:sz w:val="21"/>
        </w:rPr>
        <w:t>Managed finance for an organization funded by restricted gifts, ticket revenue and a $30M endowment, reporting to the executive director and board treasurer.</w:t>
      </w:r>
    </w:p>
    <w:p>
      <w:pPr>
        <w:pStyle w:val="ListBullet"/>
        <w:spacing w:after="40"/>
      </w:pPr>
      <w:r>
        <w:rPr>
          <w:sz w:val="21"/>
        </w:rPr>
        <w:t>Introduced an endowment spending policy aligned with UPMIFA and a quarterly investment committee report on returns, draws and asset allocation.</w:t>
      </w:r>
    </w:p>
    <w:p>
      <w:pPr>
        <w:pStyle w:val="ListBullet"/>
        <w:spacing w:after="40"/>
      </w:pPr>
      <w:r>
        <w:rPr>
          <w:sz w:val="21"/>
        </w:rPr>
        <w:t>Tracked restrictions on 600+ gifts in the donor database, releasing $2.4M of restricted funds whose donor purposes had been met.</w:t>
      </w:r>
    </w:p>
    <w:p>
      <w:pPr>
        <w:pStyle w:val="ListBullet"/>
        <w:spacing w:after="40"/>
      </w:pPr>
      <w:r>
        <w:rPr>
          <w:sz w:val="21"/>
        </w:rPr>
        <w:t>Cut annual audit fees from $68K to $56K by preparing audit-ready schedules and a fixed-asset subledger in-house instead of relying on the auditor.</w:t>
      </w:r>
    </w:p>
    <w:p>
      <w:pPr>
        <w:pStyle w:val="ListBullet"/>
        <w:spacing w:after="40"/>
      </w:pPr>
      <w:r>
        <w:rPr>
          <w:sz w:val="21"/>
        </w:rPr>
        <w:t>Built the first annual budget process with program and development leads, closing 4 straight fiscal years with an operating surplus.</w:t>
      </w:r>
    </w:p>
    <w:p>
      <w:pPr>
        <w:spacing w:after="20" w:before="0"/>
      </w:pPr>
      <w:r>
        <w:rPr>
          <w:b w:val="0"/>
          <w:i w:val="0"/>
          <w:sz w:val="21"/>
        </w:rPr>
      </w:r>
      <w:r>
        <w:rPr>
          <w:b/>
        </w:rPr>
        <w:t>Audit Associate, then Audit Senior, Nonprofit Practice</w:t>
      </w:r>
      <w:r>
        <w:t>, Pruitt &amp; Vance CPAs, Bethesda, MD</w:t>
      </w:r>
      <w:r>
        <w:rPr>
          <w:color w:val="5B6672"/>
        </w:rPr>
        <w:t xml:space="preserve">    2007-2011</w:t>
      </w:r>
    </w:p>
    <w:p>
      <w:pPr>
        <w:pStyle w:val="ListBullet"/>
        <w:spacing w:after="40"/>
      </w:pPr>
      <w:r>
        <w:rPr>
          <w:sz w:val="21"/>
        </w:rPr>
        <w:t>Led fieldwork on financial statement audits and Single Audits for 20+ nonprofits, foundations and associations with budgets from $5M to $200M.</w:t>
      </w:r>
    </w:p>
    <w:p>
      <w:pPr>
        <w:pStyle w:val="ListBullet"/>
        <w:spacing w:after="40"/>
      </w:pPr>
      <w:r>
        <w:rPr>
          <w:sz w:val="21"/>
        </w:rPr>
        <w:t>Reviewed Form 990 and 990-T returns, flagging unrelated business income issues for 4 clients before filing deadlines.</w:t>
      </w:r>
    </w:p>
    <w:p>
      <w:pPr>
        <w:pStyle w:val="ListBullet"/>
        <w:spacing w:after="40"/>
      </w:pPr>
      <w:r>
        <w:rPr>
          <w:sz w:val="21"/>
        </w:rPr>
        <w:t>Trained client finance teams on functional expense allocation and federal grant compliance testing ahead of their first Single Audits.</w:t>
      </w:r>
    </w:p>
    <w:p>
      <w:pPr>
        <w:spacing w:after="60" w:before="200"/>
      </w:pPr>
      <w:r>
        <w:rPr>
          <w:b/>
          <w:i w:val="0"/>
          <w:color w:val="1D7A53"/>
          <w:sz w:val="21"/>
        </w:rPr>
        <w:t>EDUCATION</w:t>
      </w:r>
    </w:p>
    <w:p>
      <w:pPr>
        <w:spacing w:after="40" w:before="0"/>
      </w:pPr>
      <w:r>
        <w:rPr>
          <w:b w:val="0"/>
          <w:i w:val="0"/>
          <w:sz w:val="21"/>
        </w:rPr>
        <w:t>MBA, University of Maryland, Robert H. Smith School of Business, 2013</w:t>
      </w:r>
    </w:p>
    <w:p>
      <w:pPr>
        <w:spacing w:after="40" w:before="0"/>
      </w:pPr>
      <w:r>
        <w:rPr>
          <w:b w:val="0"/>
          <w:i w:val="0"/>
          <w:sz w:val="21"/>
        </w:rPr>
        <w:t>BBA, Accounting, Howard University, 2007</w:t>
      </w:r>
    </w:p>
    <w:p>
      <w:pPr>
        <w:spacing w:after="60" w:before="200"/>
      </w:pPr>
      <w:r>
        <w:rPr>
          <w:b/>
          <w:i w:val="0"/>
          <w:color w:val="1D7A53"/>
          <w:sz w:val="21"/>
        </w:rPr>
        <w:t>CERTIFICATIONS</w:t>
      </w:r>
    </w:p>
    <w:p>
      <w:pPr>
        <w:spacing w:after="40" w:before="0"/>
      </w:pPr>
      <w:r>
        <w:rPr>
          <w:b w:val="0"/>
          <w:i w:val="0"/>
          <w:sz w:val="21"/>
        </w:rPr>
        <w:t>Certified Public Accountant (CPA), District of Columbia</w:t>
      </w:r>
    </w:p>
    <w:p>
      <w:pPr>
        <w:spacing w:after="60" w:before="200"/>
      </w:pPr>
      <w:r>
        <w:rPr>
          <w:b/>
          <w:i w:val="0"/>
          <w:color w:val="1D7A53"/>
          <w:sz w:val="21"/>
        </w:rPr>
        <w:t>TECHNICAL SKILLS</w:t>
      </w:r>
    </w:p>
    <w:p>
      <w:pPr>
        <w:spacing w:after="80" w:before="0"/>
      </w:pPr>
      <w:r>
        <w:rPr>
          <w:b w:val="0"/>
          <w:i w:val="0"/>
          <w:sz w:val="21"/>
        </w:rPr>
        <w:t>Sage Intacct | Blackbaud Raiser's Edge NXT and Financial Edge NXT | Workday Adaptive Planning | ADP Workforce Now | Power BI</w:t>
      </w:r>
    </w:p>
    <w:p>
      <w:pPr>
        <w:spacing w:after="60" w:before="200"/>
      </w:pPr>
      <w:r>
        <w:rPr>
          <w:b/>
          <w:i w:val="0"/>
          <w:color w:val="1D7A53"/>
          <w:sz w:val="21"/>
        </w:rPr>
        <w:t>BOARD AND COMMUNITY SERVICE</w:t>
      </w:r>
    </w:p>
    <w:p>
      <w:pPr>
        <w:pStyle w:val="ListBullet"/>
        <w:spacing w:after="40"/>
      </w:pPr>
      <w:r>
        <w:rPr>
          <w:sz w:val="21"/>
        </w:rPr>
        <w:t>Board treasurer, DC affordable housing nonprofit, 2019-Present</w:t>
      </w:r>
    </w:p>
    <w:p>
      <w:pPr>
        <w:pStyle w:val="ListBullet"/>
        <w:spacing w:after="40"/>
      </w:pPr>
      <w:r>
        <w:rPr>
          <w:sz w:val="21"/>
        </w:rPr>
        <w:t>Volunteer instructor, grant budgeting workshops for small community nonprofits, 2022-Present</w:t>
      </w:r>
    </w:p>
    <w:p>
      <w:pPr>
        <w:pStyle w:val="ListBullet"/>
        <w:spacing w:after="40"/>
      </w:pPr>
      <w:r>
        <w:rPr>
          <w:sz w:val="21"/>
        </w:rPr>
        <w:t>Finance committee member, Baltimore community health center board, 2016-2020</w:t>
      </w:r>
    </w:p>
    <w:p>
      <w:pPr>
        <w:spacing w:after="60" w:before="200"/>
      </w:pPr>
      <w:r>
        <w:rPr>
          <w:b/>
          <w:i w:val="0"/>
          <w:color w:val="1D7A53"/>
          <w:sz w:val="21"/>
        </w:rPr>
        <w:t>SPEAKING</w:t>
      </w:r>
    </w:p>
    <w:p>
      <w:pPr>
        <w:pStyle w:val="ListBullet"/>
        <w:spacing w:after="40"/>
      </w:pPr>
      <w:r>
        <w:rPr>
          <w:sz w:val="21"/>
        </w:rPr>
        <w:t>Panelist on reserve policies and liquidity disclosures, regional nonprofit finance conference, 2024</w:t>
      </w:r>
    </w:p>
    <w:p>
      <w:pPr>
        <w:pStyle w:val="ListBullet"/>
        <w:spacing w:after="40"/>
      </w:pPr>
      <w:r>
        <w:rPr>
          <w:sz w:val="21"/>
        </w:rPr>
        <w:t>Guest speaker on nonprofit finance careers for Howard University accounting students, 2023</w:t>
      </w:r>
    </w:p>
    <w:p>
      <w:pPr>
        <w:spacing w:after="60" w:before="200"/>
      </w:pPr>
      <w:r>
        <w:rPr>
          <w:b/>
          <w:i w:val="0"/>
          <w:color w:val="1D7A53"/>
          <w:sz w:val="21"/>
        </w:rPr>
        <w:t>AFFILIATIONS</w:t>
      </w:r>
    </w:p>
    <w:p>
      <w:pPr>
        <w:pStyle w:val="ListBullet"/>
        <w:spacing w:after="40"/>
      </w:pPr>
      <w:r>
        <w:rPr>
          <w:sz w:val="21"/>
        </w:rPr>
        <w:t>Member, AICPA and the Greater Washington Society of CPAs (GWSCPA)</w:t>
      </w:r>
    </w:p>
    <w:sectPr w:rsidR="00FC693F" w:rsidRPr="0006063C" w:rsidSect="00034616">
      <w:footerReference w:type="default" r:id="rId9"/>
      <w:pgSz w:w="12240" w:h="15840"/>
      <w:pgMar w:top="1000" w:right="1080" w:bottom="100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8A929C"/>
        <w:sz w:val="16"/>
      </w:rPr>
      <w:t>Resume template from ResumeCroc.com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Nonprofit Chief Financial Officer resume template</dc:title>
  <dc:subject/>
  <dc:creator>ResumeCroc</dc:creator>
  <cp:keywords/>
  <dc:description>generated by python-docx</dc:description>
  <cp:lastModifiedBy/>
  <cp:revision>1</cp:revision>
  <dcterms:created xsi:type="dcterms:W3CDTF">2013-12-23T23:15:00Z</dcterms:created>
  <dcterms:modified xsi:type="dcterms:W3CDTF">2013-12-23T23:15:00Z</dcterms:modified>
  <cp:category/>
</cp:coreProperties>
</file>