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Samuel Ogunleye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Chief Financial Officer, CPA, CHFP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Nashville, TN | samuel.ogunleye@email.com | (555) 018-4471 | linkedin.com/in/samuelogunleye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Health system CFO with 20 years in hospital finance, reimbursement and revenue cycle, now leading finance for a 1,050-bed nonprofit system with $1.9B in operating revenue and 11,000 employees. Partners with the CEO, CMO and board finance committee on payer strategy, capital planning and labor productivity, and leads a 260-person finance, revenue cycle and decision support organization.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Hospital and health system finance | Revenue cycle management | Managed care contracting | Medicare and Medicaid reimbursement | Medicare cost reports | 340B program oversight | Tax-exempt bond financing | Rating agency relations | Contract labor reduction | Service-line profitability | Capital planning | Cost accounting and decision support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Executive Vice President and Chief Financial Officer</w:t>
      </w:r>
      <w:r>
        <w:t>, Merrowbrook Health System (4-hospital nonprofit system), Nashville, TN</w:t>
      </w:r>
      <w:r>
        <w:rPr>
          <w:color w:val="5B6672"/>
        </w:rPr>
        <w:t xml:space="preserve">    2020-Present</w:t>
      </w:r>
    </w:p>
    <w:p>
      <w:pPr>
        <w:pStyle w:val="ListBullet"/>
        <w:spacing w:after="40"/>
      </w:pPr>
      <w:r>
        <w:rPr>
          <w:sz w:val="21"/>
        </w:rPr>
        <w:t>Moved the system from a 2.1% operating loss in FY2022 to a 3.4% operating margin in FY2025 through labor, supply and payer initiatives.</w:t>
      </w:r>
    </w:p>
    <w:p>
      <w:pPr>
        <w:pStyle w:val="ListBullet"/>
        <w:spacing w:after="40"/>
      </w:pPr>
      <w:r>
        <w:rPr>
          <w:sz w:val="21"/>
        </w:rPr>
        <w:t>Cut contract labor spend from $96M to $31M a year by funding a nurse residency, an internal float pool and retention pay.</w:t>
      </w:r>
    </w:p>
    <w:p>
      <w:pPr>
        <w:pStyle w:val="ListBullet"/>
        <w:spacing w:after="40"/>
      </w:pPr>
      <w:r>
        <w:rPr>
          <w:sz w:val="21"/>
        </w:rPr>
        <w:t>Renegotiated 3 major commercial payer contracts, adding $42M in annual net revenue along with prompt-pay and denial-overturn protections.</w:t>
      </w:r>
    </w:p>
    <w:p>
      <w:pPr>
        <w:pStyle w:val="ListBullet"/>
        <w:spacing w:after="40"/>
      </w:pPr>
      <w:r>
        <w:rPr>
          <w:sz w:val="21"/>
        </w:rPr>
        <w:t>Reduced days in accounts receivable from 54 to 41 and the initial denial rate from 13% to 8% by redesigning Epic workqueues.</w:t>
      </w:r>
    </w:p>
    <w:p>
      <w:pPr>
        <w:pStyle w:val="ListBullet"/>
        <w:spacing w:after="40"/>
      </w:pPr>
      <w:r>
        <w:rPr>
          <w:sz w:val="21"/>
        </w:rPr>
        <w:t>Issued $310M of tax-exempt revenue bonds to fund a patient tower, with the system's A2 rating and stable outlook affirmed by Moody's.</w:t>
      </w:r>
    </w:p>
    <w:p>
      <w:pPr>
        <w:pStyle w:val="ListBullet"/>
        <w:spacing w:after="40"/>
      </w:pPr>
      <w:r>
        <w:rPr>
          <w:sz w:val="21"/>
        </w:rPr>
        <w:t>Raised days cash on hand from 148 to 205 through investment policy reform and capital spending discipline.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Finance, then Hospital CFO</w:t>
      </w:r>
      <w:r>
        <w:t>, Ohio Bend Medical Center (410-bed teaching hospital), Louisville, KY</w:t>
      </w:r>
      <w:r>
        <w:rPr>
          <w:color w:val="5B6672"/>
        </w:rPr>
        <w:t xml:space="preserve">    2014-2020</w:t>
      </w:r>
    </w:p>
    <w:p>
      <w:pPr>
        <w:pStyle w:val="ListBullet"/>
        <w:spacing w:after="40"/>
      </w:pPr>
      <w:r>
        <w:rPr>
          <w:sz w:val="21"/>
        </w:rPr>
        <w:t>Led finance for $720M in net patient revenue and 3,800 employees, reporting to the hospital president.</w:t>
      </w:r>
    </w:p>
    <w:p>
      <w:pPr>
        <w:pStyle w:val="ListBullet"/>
        <w:spacing w:after="40"/>
      </w:pPr>
      <w:r>
        <w:rPr>
          <w:sz w:val="21"/>
        </w:rPr>
        <w:t>Built the hospital's first service-line profitability model, directing $85M of capital toward cardiovascular, orthopedic and outpatient surgery growth.</w:t>
      </w:r>
    </w:p>
    <w:p>
      <w:pPr>
        <w:pStyle w:val="ListBullet"/>
        <w:spacing w:after="40"/>
      </w:pPr>
      <w:r>
        <w:rPr>
          <w:sz w:val="21"/>
        </w:rPr>
        <w:t>Managed 2020 CARES Act Provider Relief Fund receipts, terms-and-conditions attestations and lost-revenue tracking, and modeled cash under 4 volume scenarios.</w:t>
      </w:r>
    </w:p>
    <w:p>
      <w:pPr>
        <w:pStyle w:val="ListBullet"/>
        <w:spacing w:after="40"/>
      </w:pPr>
      <w:r>
        <w:rPr>
          <w:sz w:val="21"/>
        </w:rPr>
        <w:t>Partnered with clinical documentation integrity leaders to improve case mix index capture, adding $11M in appropriate Medicare reimbursement.</w:t>
      </w:r>
    </w:p>
    <w:p>
      <w:pPr>
        <w:pStyle w:val="ListBullet"/>
        <w:spacing w:after="40"/>
      </w:pPr>
      <w:r>
        <w:rPr>
          <w:sz w:val="21"/>
        </w:rPr>
        <w:t>Strengthened 340B compliance and added contract pharmacy partners, raising annual program savings $14M with no adverse HRSA audit findings.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Reimbursement Manager, then Director of Reimbursement and Decision Support</w:t>
      </w:r>
      <w:r>
        <w:t>, Ohio Bend Medical Center, Louisville, KY</w:t>
      </w:r>
      <w:r>
        <w:rPr>
          <w:color w:val="5B6672"/>
        </w:rPr>
        <w:t xml:space="preserve">    2010-2014</w:t>
      </w:r>
    </w:p>
    <w:p>
      <w:pPr>
        <w:pStyle w:val="ListBullet"/>
        <w:spacing w:after="40"/>
      </w:pPr>
      <w:r>
        <w:rPr>
          <w:sz w:val="21"/>
        </w:rPr>
        <w:t>Prepared Medicare and Medicaid cost reports for 2 hospitals and closed 6 years of open audits with the Medicare Administrative Contractor.</w:t>
      </w:r>
    </w:p>
    <w:p>
      <w:pPr>
        <w:pStyle w:val="ListBullet"/>
        <w:spacing w:after="40"/>
      </w:pPr>
      <w:r>
        <w:rPr>
          <w:sz w:val="21"/>
        </w:rPr>
        <w:t>Modeled payer contract proposals for 25 commercial agreements and recovered $6M of underpayments identified through contract variance audits.</w:t>
      </w:r>
    </w:p>
    <w:p>
      <w:pPr>
        <w:pStyle w:val="ListBullet"/>
        <w:spacing w:after="40"/>
      </w:pPr>
      <w:r>
        <w:rPr>
          <w:sz w:val="21"/>
        </w:rPr>
        <w:t>Quantified exposure to Medicare readmission penalties, helping fund a nurse-led transitions-of-care program that cut 30-day heart failure readmissions from 24% to 18%.</w:t>
      </w:r>
    </w:p>
    <w:p>
      <w:pPr>
        <w:pStyle w:val="ListBullet"/>
        <w:spacing w:after="40"/>
      </w:pPr>
      <w:r>
        <w:rPr>
          <w:sz w:val="21"/>
        </w:rPr>
        <w:t>Implemented a cost accounting system that gave physicians and service-line leaders procedure-level cost data for the first time.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Healthcare Audit Associate, then Audit Senior</w:t>
      </w:r>
      <w:r>
        <w:t>, Corwin Ashe LLP, Nashville, TN</w:t>
      </w:r>
      <w:r>
        <w:rPr>
          <w:color w:val="5B6672"/>
        </w:rPr>
        <w:t xml:space="preserve">    2006-2010</w:t>
      </w:r>
    </w:p>
    <w:p>
      <w:pPr>
        <w:pStyle w:val="ListBullet"/>
        <w:spacing w:after="40"/>
      </w:pPr>
      <w:r>
        <w:rPr>
          <w:sz w:val="21"/>
        </w:rPr>
        <w:t>Audited hospitals, physician groups and post-acute providers with net revenue from $50M to $1.5B across 4 states.</w:t>
      </w:r>
    </w:p>
    <w:p>
      <w:pPr>
        <w:pStyle w:val="ListBullet"/>
        <w:spacing w:after="40"/>
      </w:pPr>
      <w:r>
        <w:rPr>
          <w:sz w:val="21"/>
        </w:rPr>
        <w:t>Tested third-party settlement reserves and contractual allowance estimates for Medicare, Medicaid and commercial payer revenue.</w:t>
      </w:r>
    </w:p>
    <w:p>
      <w:pPr>
        <w:pStyle w:val="ListBullet"/>
        <w:spacing w:after="40"/>
      </w:pPr>
      <w:r>
        <w:rPr>
          <w:sz w:val="21"/>
        </w:rPr>
        <w:t>Led audit teams of 5 and coordinated comfort letter procedures for 2 nonprofit health system bond offerings.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University of Louisville, College of Business, 2013</w:t>
      </w:r>
    </w:p>
    <w:p>
      <w:pPr>
        <w:spacing w:after="40" w:before="0"/>
      </w:pPr>
      <w:r>
        <w:rPr>
          <w:b w:val="0"/>
          <w:i w:val="0"/>
          <w:sz w:val="21"/>
        </w:rPr>
        <w:t>BBA, Accounting, Middle Tennessee State University, 2006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Public Accountant (CPA), Tennessee</w:t>
      </w:r>
    </w:p>
    <w:p>
      <w:pPr>
        <w:spacing w:after="40" w:before="0"/>
      </w:pPr>
      <w:r>
        <w:rPr>
          <w:b w:val="0"/>
          <w:i w:val="0"/>
          <w:sz w:val="21"/>
        </w:rPr>
        <w:t>Certified Healthcare Financial Professional (CHFP), HFMA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Epic Resolute and Clarity | Workday Financials and Adaptive Planning | StrataJazz cost accounting | Power 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RATING AGENCY AND BONDHOLDER RELATIONS</w:t>
      </w:r>
    </w:p>
    <w:p>
      <w:pPr>
        <w:pStyle w:val="ListBullet"/>
        <w:spacing w:after="40"/>
      </w:pPr>
      <w:r>
        <w:rPr>
          <w:sz w:val="21"/>
        </w:rPr>
        <w:t>Lead the annual rating presentations to Moody's and S&amp;P Global Ratings with the CEO and board finance chair</w:t>
      </w:r>
    </w:p>
    <w:p>
      <w:pPr>
        <w:pStyle w:val="ListBullet"/>
        <w:spacing w:after="40"/>
      </w:pPr>
      <w:r>
        <w:rPr>
          <w:sz w:val="21"/>
        </w:rPr>
        <w:t>Oversee quarterly continuing disclosure to bondholders through EMMA</w:t>
      </w:r>
    </w:p>
    <w:p>
      <w:pPr>
        <w:pStyle w:val="ListBullet"/>
        <w:spacing w:after="40"/>
      </w:pPr>
      <w:r>
        <w:rPr>
          <w:sz w:val="21"/>
        </w:rPr>
        <w:t>Staff the board investment committee and oversee the outsourced CIO managing the system's $1.1B long-term investment pool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INDUSTRY LEADERSHIP</w:t>
      </w:r>
    </w:p>
    <w:p>
      <w:pPr>
        <w:pStyle w:val="ListBullet"/>
        <w:spacing w:after="40"/>
      </w:pPr>
      <w:r>
        <w:rPr>
          <w:sz w:val="21"/>
        </w:rPr>
        <w:t>Board member, Tennessee chapter of the Healthcare Financial Management Association (HFMA), 2022-Present</w:t>
      </w:r>
    </w:p>
    <w:p>
      <w:pPr>
        <w:pStyle w:val="ListBullet"/>
        <w:spacing w:after="40"/>
      </w:pPr>
      <w:r>
        <w:rPr>
          <w:sz w:val="21"/>
        </w:rPr>
        <w:t>Presenter on building a 10-year capital plan for a multi-hospital system, regional HFMA conference, 2024</w:t>
      </w:r>
    </w:p>
    <w:p>
      <w:pPr>
        <w:pStyle w:val="ListBullet"/>
        <w:spacing w:after="40"/>
      </w:pPr>
      <w:r>
        <w:rPr>
          <w:sz w:val="21"/>
        </w:rPr>
        <w:t>Member, American College of Healthcare Executives (ACHE)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 and Health System CFO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