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Terrence Holloway</w:t>
      </w:r>
    </w:p>
    <w:p>
      <w:pPr>
        <w:spacing w:after="40" w:before="0"/>
      </w:pPr>
      <w:r>
        <w:rPr>
          <w:b/>
          <w:i w:val="0"/>
          <w:color w:val="1D7A53"/>
          <w:sz w:val="23"/>
        </w:rPr>
        <w:t>Senior Healthcare Business Analyst, CBAP, CPC</w:t>
      </w:r>
    </w:p>
    <w:p>
      <w:pPr>
        <w:spacing w:after="160" w:before="0"/>
      </w:pPr>
      <w:r>
        <w:rPr>
          <w:b w:val="0"/>
          <w:i w:val="0"/>
          <w:color w:val="5B6672"/>
          <w:sz w:val="19"/>
        </w:rPr>
        <w:t>Nashville, TN | terrence.holloway@email.com | (555) 018-6610 | linkedin.com/in/terrenceholloway</w:t>
      </w:r>
    </w:p>
    <w:p>
      <w:pPr>
        <w:spacing w:after="60" w:before="200"/>
      </w:pPr>
      <w:r>
        <w:rPr>
          <w:b/>
          <w:i w:val="0"/>
          <w:color w:val="1D7A53"/>
          <w:sz w:val="21"/>
        </w:rPr>
        <w:t>PROFESSIONAL SUMMARY</w:t>
      </w:r>
    </w:p>
    <w:p>
      <w:pPr>
        <w:spacing w:after="80" w:before="0"/>
      </w:pPr>
      <w:r>
        <w:rPr>
          <w:b w:val="0"/>
          <w:i w:val="0"/>
          <w:sz w:val="21"/>
        </w:rPr>
        <w:t>Healthcare business analyst with 10 years in health plan operations and IT, progressing from medical claims examiner to senior BA for claims, provider and interoperability systems. Translates CMS rules, X12 EDI transactions and HL7 FHIR standards into requirements that configuration, vendor and QA teams can build and test. Fluent in Facets, SQL and Jira, and trusted to lead regulatory projects with fixed federal deadlines.</w:t>
      </w:r>
    </w:p>
    <w:p>
      <w:pPr>
        <w:spacing w:after="60" w:before="200"/>
      </w:pPr>
      <w:r>
        <w:rPr>
          <w:b/>
          <w:i w:val="0"/>
          <w:color w:val="1D7A53"/>
          <w:sz w:val="21"/>
        </w:rPr>
        <w:t>SKILLS</w:t>
      </w:r>
    </w:p>
    <w:p>
      <w:pPr>
        <w:spacing w:after="80" w:before="0"/>
      </w:pPr>
      <w:r>
        <w:rPr>
          <w:b w:val="0"/>
          <w:i w:val="0"/>
          <w:sz w:val="21"/>
        </w:rPr>
        <w:t>Healthcare claims (X12 837, 835, 277CA) | HL7 FHIR R4 API requirements | CMS interoperability and prior authorization rules | HIPAA privacy and security requirements | Facets configuration requirements | Medical coding (ICD-10-CM, CPT, HCPCS) | Benefit and pricing configuration | Requirements traceability | SQL claim research | Process mapping (BPMN) | UAT leadership | Vendor management</w:t>
      </w:r>
    </w:p>
    <w:p>
      <w:pPr>
        <w:spacing w:after="60" w:before="200"/>
      </w:pPr>
      <w:r>
        <w:rPr>
          <w:b/>
          <w:i w:val="0"/>
          <w:color w:val="1D7A53"/>
          <w:sz w:val="21"/>
        </w:rPr>
        <w:t>PROFESSIONAL EXPERIENCE</w:t>
      </w:r>
    </w:p>
    <w:p>
      <w:pPr>
        <w:spacing w:after="20" w:before="0"/>
      </w:pPr>
      <w:r>
        <w:rPr>
          <w:b w:val="0"/>
          <w:i w:val="0"/>
          <w:sz w:val="21"/>
        </w:rPr>
      </w:r>
      <w:r>
        <w:rPr>
          <w:b/>
        </w:rPr>
        <w:t>Senior Healthcare Business Analyst</w:t>
      </w:r>
      <w:r>
        <w:t>, Cumberwell Health Plan, Nashville, TN</w:t>
      </w:r>
      <w:r>
        <w:rPr>
          <w:color w:val="5B6672"/>
        </w:rPr>
        <w:t xml:space="preserve">    2023-Present</w:t>
      </w:r>
    </w:p>
    <w:p>
      <w:pPr>
        <w:pStyle w:val="ListBullet"/>
        <w:spacing w:after="40"/>
      </w:pPr>
      <w:r>
        <w:rPr>
          <w:sz w:val="21"/>
        </w:rPr>
        <w:t>Lead business analysis for the plan's CMS Interoperability and Prior Authorization rule (CMS-0057-F) program, defining requirements for the Patient Access, Provider Access, Payer-to-Payer and Prior Authorization APIs.</w:t>
      </w:r>
    </w:p>
    <w:p>
      <w:pPr>
        <w:pStyle w:val="ListBullet"/>
        <w:spacing w:after="40"/>
      </w:pPr>
      <w:r>
        <w:rPr>
          <w:sz w:val="21"/>
        </w:rPr>
        <w:t>Mapped 90+ prior authorization data elements from the utilization management platform to the HL7 Da Vinci CRD, DTR and PAS guides with 2 vendors.</w:t>
      </w:r>
    </w:p>
    <w:p>
      <w:pPr>
        <w:pStyle w:val="ListBullet"/>
        <w:spacing w:after="40"/>
      </w:pPr>
      <w:r>
        <w:rPr>
          <w:sz w:val="21"/>
        </w:rPr>
        <w:t>Defined workflow rules and SLA alerts for the 2026 decision timeframes (72 hours expedited, 7 calendar days standard) on Medicare Advantage and Medicaid lines.</w:t>
      </w:r>
    </w:p>
    <w:p>
      <w:pPr>
        <w:pStyle w:val="ListBullet"/>
        <w:spacing w:after="40"/>
      </w:pPr>
      <w:r>
        <w:rPr>
          <w:sz w:val="21"/>
        </w:rPr>
        <w:t>Led a 9-person UAT team through a Facets upgrade, executing 1,400 claim test cases and holding first-pass auto-adjudication at 86% after go-live.</w:t>
      </w:r>
    </w:p>
    <w:p>
      <w:pPr>
        <w:pStyle w:val="ListBullet"/>
        <w:spacing w:after="40"/>
      </w:pPr>
      <w:r>
        <w:rPr>
          <w:sz w:val="21"/>
        </w:rPr>
        <w:t>Mentor 3 analysts on traceability and SQL claim research, and wrote the team's BRD and user story templates.</w:t>
      </w:r>
    </w:p>
    <w:p>
      <w:pPr>
        <w:spacing w:after="20" w:before="0"/>
      </w:pPr>
      <w:r>
        <w:rPr>
          <w:b w:val="0"/>
          <w:i w:val="0"/>
          <w:sz w:val="21"/>
        </w:rPr>
      </w:r>
      <w:r>
        <w:rPr>
          <w:b/>
        </w:rPr>
        <w:t>Healthcare Business Analyst</w:t>
      </w:r>
      <w:r>
        <w:t>, Cumberwell Health Plan, Nashville, TN</w:t>
      </w:r>
      <w:r>
        <w:rPr>
          <w:color w:val="5B6672"/>
        </w:rPr>
        <w:t xml:space="preserve">    2020-2023</w:t>
      </w:r>
    </w:p>
    <w:p>
      <w:pPr>
        <w:pStyle w:val="ListBullet"/>
        <w:spacing w:after="40"/>
      </w:pPr>
      <w:r>
        <w:rPr>
          <w:sz w:val="21"/>
        </w:rPr>
        <w:t>Wrote configuration requirements for 2 new Medicare Advantage benefit packages, validating 600 benefit rules before the January 1 effective date.</w:t>
      </w:r>
    </w:p>
    <w:p>
      <w:pPr>
        <w:pStyle w:val="ListBullet"/>
        <w:spacing w:after="40"/>
      </w:pPr>
      <w:r>
        <w:rPr>
          <w:sz w:val="21"/>
        </w:rPr>
        <w:t>Analyzed claim and 835 remittance history in SQL to find root causes of provider payment disputes, cutting reprocessed claims 31%.</w:t>
      </w:r>
    </w:p>
    <w:p>
      <w:pPr>
        <w:pStyle w:val="ListBullet"/>
        <w:spacing w:after="40"/>
      </w:pPr>
      <w:r>
        <w:rPr>
          <w:sz w:val="21"/>
        </w:rPr>
        <w:t>Mapped the provider data process across contracting, credentialing and configuration, ending duplicate data entry for 4 teams.</w:t>
      </w:r>
    </w:p>
    <w:p>
      <w:pPr>
        <w:pStyle w:val="ListBullet"/>
        <w:spacing w:after="40"/>
      </w:pPr>
      <w:r>
        <w:rPr>
          <w:sz w:val="21"/>
        </w:rPr>
        <w:t>Gathered requirements for a No Surprises Act dispute tracking tool, giving legal and claims teams one view of 2,000+ federal IDR cases.</w:t>
      </w:r>
    </w:p>
    <w:p>
      <w:pPr>
        <w:pStyle w:val="ListBullet"/>
        <w:spacing w:after="40"/>
      </w:pPr>
      <w:r>
        <w:rPr>
          <w:sz w:val="21"/>
        </w:rPr>
        <w:t>Coordinated the annual ICD-10-CM (October) and CPT (January) code set updates, reviewing 800+ code changes with configuration and medical policy.</w:t>
      </w:r>
    </w:p>
    <w:p>
      <w:pPr>
        <w:spacing w:after="20" w:before="0"/>
      </w:pPr>
      <w:r>
        <w:rPr>
          <w:b w:val="0"/>
          <w:i w:val="0"/>
          <w:sz w:val="21"/>
        </w:rPr>
      </w:r>
      <w:r>
        <w:rPr>
          <w:b/>
        </w:rPr>
        <w:t>Claims Systems Analyst</w:t>
      </w:r>
      <w:r>
        <w:t>, Brentlow Benefits Administrators, Franklin, TN</w:t>
      </w:r>
      <w:r>
        <w:rPr>
          <w:color w:val="5B6672"/>
        </w:rPr>
        <w:t xml:space="preserve">    2018-2020</w:t>
      </w:r>
    </w:p>
    <w:p>
      <w:pPr>
        <w:pStyle w:val="ListBullet"/>
        <w:spacing w:after="40"/>
      </w:pPr>
      <w:r>
        <w:rPr>
          <w:sz w:val="21"/>
        </w:rPr>
        <w:t>Researched 30-40 pended claims a day in SQL and the claims system, writing fix requests that cleared a 5,000-claim backlog in 4 months.</w:t>
      </w:r>
    </w:p>
    <w:p>
      <w:pPr>
        <w:pStyle w:val="ListBullet"/>
        <w:spacing w:after="40"/>
      </w:pPr>
      <w:r>
        <w:rPr>
          <w:sz w:val="21"/>
        </w:rPr>
        <w:t>Tested 837 EDI file changes with the clearinghouse as 2 large employer groups onboarded, with zero rejected files in the first month.</w:t>
      </w:r>
    </w:p>
    <w:p>
      <w:pPr>
        <w:pStyle w:val="ListBullet"/>
        <w:spacing w:after="40"/>
      </w:pPr>
      <w:r>
        <w:rPr>
          <w:sz w:val="21"/>
        </w:rPr>
        <w:t>Documented 25 claim-pricing workarounds as process maps, the basis for the first formal BRD the TPA's IT team received.</w:t>
      </w:r>
    </w:p>
    <w:p>
      <w:pPr>
        <w:pStyle w:val="ListBullet"/>
        <w:spacing w:after="40"/>
      </w:pPr>
      <w:r>
        <w:rPr>
          <w:sz w:val="21"/>
        </w:rPr>
        <w:t>Trained 12 claims examiners on new coordination of benefits procedures after a plan rule change.</w:t>
      </w:r>
    </w:p>
    <w:p>
      <w:pPr>
        <w:spacing w:after="20" w:before="0"/>
      </w:pPr>
      <w:r>
        <w:rPr>
          <w:b w:val="0"/>
          <w:i w:val="0"/>
          <w:sz w:val="21"/>
        </w:rPr>
      </w:r>
      <w:r>
        <w:rPr>
          <w:b/>
        </w:rPr>
        <w:t>Medical Claims Examiner</w:t>
      </w:r>
      <w:r>
        <w:t>, Brentlow Benefits Administrators, Franklin, TN</w:t>
      </w:r>
      <w:r>
        <w:rPr>
          <w:color w:val="5B6672"/>
        </w:rPr>
        <w:t xml:space="preserve">    2016-2018</w:t>
      </w:r>
    </w:p>
    <w:p>
      <w:pPr>
        <w:pStyle w:val="ListBullet"/>
        <w:spacing w:after="40"/>
      </w:pPr>
      <w:r>
        <w:rPr>
          <w:sz w:val="21"/>
        </w:rPr>
        <w:t>Adjudicated 80-100 professional and facility claims a day at 99% financial accuracy for self-funded employer health plans.</w:t>
      </w:r>
    </w:p>
    <w:p>
      <w:pPr>
        <w:pStyle w:val="ListBullet"/>
        <w:spacing w:after="40"/>
      </w:pPr>
      <w:r>
        <w:rPr>
          <w:sz w:val="21"/>
        </w:rPr>
        <w:t>Reviewed modifier and bundling issues on complex surgical claims, cutting overpayment findings in quality audits by half.</w:t>
      </w:r>
    </w:p>
    <w:p>
      <w:pPr>
        <w:pStyle w:val="ListBullet"/>
        <w:spacing w:after="40"/>
      </w:pPr>
      <w:r>
        <w:rPr>
          <w:sz w:val="21"/>
        </w:rPr>
        <w:t>Spotted a recurring duplicate-payment pattern that led to a new system edit and $210K in recoveries.</w:t>
      </w:r>
    </w:p>
    <w:p>
      <w:pPr>
        <w:spacing w:after="60" w:before="200"/>
      </w:pPr>
      <w:r>
        <w:rPr>
          <w:b/>
          <w:i w:val="0"/>
          <w:color w:val="1D7A53"/>
          <w:sz w:val="21"/>
        </w:rPr>
        <w:t>EDUCATION</w:t>
      </w:r>
    </w:p>
    <w:p>
      <w:pPr>
        <w:spacing w:after="40" w:before="0"/>
      </w:pPr>
      <w:r>
        <w:rPr>
          <w:b w:val="0"/>
          <w:i w:val="0"/>
          <w:sz w:val="21"/>
        </w:rPr>
        <w:t>Bachelor of Business Administration (BBA), Middle Tennessee State University, 2016</w:t>
      </w:r>
    </w:p>
    <w:p>
      <w:pPr>
        <w:spacing w:after="60" w:before="200"/>
      </w:pPr>
      <w:r>
        <w:rPr>
          <w:b/>
          <w:i w:val="0"/>
          <w:color w:val="1D7A53"/>
          <w:sz w:val="21"/>
        </w:rPr>
        <w:t>CERTIFICATIONS</w:t>
      </w:r>
    </w:p>
    <w:p>
      <w:pPr>
        <w:spacing w:after="40" w:before="0"/>
      </w:pPr>
      <w:r>
        <w:rPr>
          <w:b w:val="0"/>
          <w:i w:val="0"/>
          <w:sz w:val="21"/>
        </w:rPr>
        <w:t>Certified Business Analysis Professional (CBAP), IIBA, 2024</w:t>
      </w:r>
    </w:p>
    <w:p>
      <w:pPr>
        <w:spacing w:after="40" w:before="0"/>
      </w:pPr>
      <w:r>
        <w:rPr>
          <w:b w:val="0"/>
          <w:i w:val="0"/>
          <w:sz w:val="21"/>
        </w:rPr>
        <w:t>Certified Professional Coder (CPC), AAPC, 2017</w:t>
      </w:r>
    </w:p>
    <w:p>
      <w:pPr>
        <w:spacing w:after="40" w:before="0"/>
      </w:pPr>
      <w:r>
        <w:rPr>
          <w:b w:val="0"/>
          <w:i w:val="0"/>
          <w:sz w:val="21"/>
        </w:rPr>
        <w:t>HL7 FHIR R4 Proficiency Certificate, HL7 International, 2024</w:t>
      </w:r>
    </w:p>
    <w:p>
      <w:pPr>
        <w:spacing w:after="60" w:before="200"/>
      </w:pPr>
      <w:r>
        <w:rPr>
          <w:b/>
          <w:i w:val="0"/>
          <w:color w:val="1D7A53"/>
          <w:sz w:val="21"/>
        </w:rPr>
        <w:t>TECHNICAL SKILLS</w:t>
      </w:r>
    </w:p>
    <w:p>
      <w:pPr>
        <w:spacing w:after="80" w:before="0"/>
      </w:pPr>
      <w:r>
        <w:rPr>
          <w:b w:val="0"/>
          <w:i w:val="0"/>
          <w:sz w:val="21"/>
        </w:rPr>
        <w:t>TriZetto Facets | SQL Server Management Studio | Jira and Confluence | Postman | HL7 FHIR R4 | X12 5010 EDI | Microsoft Visio | Power BI</w:t>
      </w:r>
    </w:p>
    <w:p>
      <w:pPr>
        <w:spacing w:after="60" w:before="200"/>
      </w:pPr>
      <w:r>
        <w:rPr>
          <w:b/>
          <w:i w:val="0"/>
          <w:color w:val="1D7A53"/>
          <w:sz w:val="21"/>
        </w:rPr>
        <w:t>TRAINING AND PRESENTATIONS</w:t>
      </w:r>
    </w:p>
    <w:p>
      <w:pPr>
        <w:pStyle w:val="ListBullet"/>
        <w:spacing w:after="40"/>
      </w:pPr>
      <w:r>
        <w:rPr>
          <w:sz w:val="21"/>
        </w:rPr>
        <w:t>Created and teach Reading an 835 for IT Teams, an internal workshop attended by 60+ developers and testers, 2024-Present</w:t>
      </w:r>
    </w:p>
    <w:p>
      <w:pPr>
        <w:pStyle w:val="ListBullet"/>
        <w:spacing w:after="40"/>
      </w:pPr>
      <w:r>
        <w:rPr>
          <w:sz w:val="21"/>
        </w:rPr>
        <w:t>Presented the plan's prior authorization API roadmap to its provider advisory council, 2025</w:t>
      </w:r>
    </w:p>
    <w:p>
      <w:pPr>
        <w:spacing w:after="60" w:before="200"/>
      </w:pPr>
      <w:r>
        <w:rPr>
          <w:b/>
          <w:i w:val="0"/>
          <w:color w:val="1D7A53"/>
          <w:sz w:val="21"/>
        </w:rPr>
        <w:t>ADDITIONAL PROJECTS</w:t>
      </w:r>
    </w:p>
    <w:p>
      <w:pPr>
        <w:pStyle w:val="ListBullet"/>
        <w:spacing w:after="40"/>
      </w:pPr>
      <w:r>
        <w:rPr>
          <w:sz w:val="21"/>
        </w:rPr>
        <w:t>Medicaid enrollment intake, 2022: defined X12 834 file validation rules for the state eligibility feed, ending a monthly cycle of eligibility-driven claim denials</w:t>
      </w:r>
    </w:p>
    <w:p>
      <w:pPr>
        <w:pStyle w:val="ListBullet"/>
        <w:spacing w:after="40"/>
      </w:pPr>
      <w:r>
        <w:rPr>
          <w:sz w:val="21"/>
        </w:rPr>
        <w:t>HEDIS supplemental data, 2021: wrote requirements for lab and screening data feeds from 3 provider groups to close quality-measure care gaps</w:t>
      </w:r>
    </w:p>
    <w:p>
      <w:pPr>
        <w:spacing w:after="60" w:before="200"/>
      </w:pPr>
      <w:r>
        <w:rPr>
          <w:b/>
          <w:i w:val="0"/>
          <w:color w:val="1D7A53"/>
          <w:sz w:val="21"/>
        </w:rPr>
        <w:t>PROFESSIONAL AFFILIATIONS</w:t>
      </w:r>
    </w:p>
    <w:p>
      <w:pPr>
        <w:pStyle w:val="ListBullet"/>
        <w:spacing w:after="40"/>
      </w:pPr>
      <w:r>
        <w:rPr>
          <w:sz w:val="21"/>
        </w:rPr>
        <w:t>International Institute of Business Analysis (IIBA), member since 2019</w:t>
      </w:r>
    </w:p>
    <w:p>
      <w:pPr>
        <w:pStyle w:val="ListBullet"/>
        <w:spacing w:after="40"/>
      </w:pPr>
      <w:r>
        <w:rPr>
          <w:sz w:val="21"/>
        </w:rPr>
        <w:t>Healthcare Information and Management Systems Society (HIMSS), member since 2022</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Healthcare Business Analyst (Health Plan and Claims)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