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Yvonne Adebayo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General Counsel and Corporate Secretary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yvonne.adebayo@email.com | (555) 016-2054 | linkedin.com/in/yvonneadebayo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General counsel and corporate secretary admitted in Georgia with 18 years in law firm and in-house practice, the last 9 leading legal teams at a public manufacturer and a private equity-backed software company. Partners with CEOs, CFOs and boards on M&amp;A, commercial strategy, litigation risk, privacy and governance. Builds lean legal functions that move fast while controlling risk.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Legal department leadership | M&amp;A and divestitures | Board and corporate secretary | SEC reporting | Commercial contracting | Litigation management | Privacy and AI governance | Employment counseling | Ethics and compliance | Outside counsel management | Insider trading compliance | Board risk reporting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General Counsel and Corporate Secretary</w:t>
      </w:r>
      <w:r>
        <w:t>, Orvanne Supply Chain Software, Atlanta, GA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a 12-person global legal and compliance team, including 7 attorneys, with a $6.8M budget for a 1,600-employee software company, reporting to the CEO.</w:t>
      </w:r>
    </w:p>
    <w:p>
      <w:pPr>
        <w:pStyle w:val="ListBullet"/>
        <w:spacing w:after="40"/>
      </w:pPr>
      <w:r>
        <w:rPr>
          <w:sz w:val="21"/>
        </w:rPr>
        <w:t>Cut outside counsel spend 34% in 2 years by moving routine contracting in-house, launching a contract lifecycle management (CLM) platform and negotiating fixed fees with a 5-firm panel.</w:t>
      </w:r>
    </w:p>
    <w:p>
      <w:pPr>
        <w:pStyle w:val="ListBullet"/>
        <w:spacing w:after="40"/>
      </w:pPr>
      <w:r>
        <w:rPr>
          <w:sz w:val="21"/>
        </w:rPr>
        <w:t>Directed legal work on 6 add-on acquisitions totaling $390M, from diligence and purchase agreements through post-close integration of contracts and IP.</w:t>
      </w:r>
    </w:p>
    <w:p>
      <w:pPr>
        <w:pStyle w:val="ListBullet"/>
        <w:spacing w:after="40"/>
      </w:pPr>
      <w:r>
        <w:rPr>
          <w:sz w:val="21"/>
        </w:rPr>
        <w:t>Built a privacy and AI governance program aligned to GDPR, CCPA/CPRA and the EU AI Act, including a generative AI use policy and vendor AI reviews.</w:t>
      </w:r>
    </w:p>
    <w:p>
      <w:pPr>
        <w:pStyle w:val="ListBullet"/>
        <w:spacing w:after="40"/>
      </w:pPr>
      <w:r>
        <w:rPr>
          <w:sz w:val="21"/>
        </w:rPr>
        <w:t>Resolved a $14M channel-partner contract dispute through mediation for under 20% of the amount claimed, avoiding an estimated 2 years of litigation.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Deputy General Counsel</w:t>
      </w:r>
      <w:r>
        <w:t>, Ardenmoor Industrial Group, Atlanta, GA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Managed 4 attorneys and 2 paralegals supporting commercial, employment, litigation and securities matters for a $2.1B publicly traded manufacturer.</w:t>
      </w:r>
    </w:p>
    <w:p>
      <w:pPr>
        <w:pStyle w:val="ListBullet"/>
        <w:spacing w:after="40"/>
      </w:pPr>
      <w:r>
        <w:rPr>
          <w:sz w:val="21"/>
        </w:rPr>
        <w:t>Oversaw defense of a securities class action and 2 related derivative suits with outside counsel, securing dismissal of all claims with prejudice in 2020.</w:t>
      </w:r>
    </w:p>
    <w:p>
      <w:pPr>
        <w:pStyle w:val="ListBullet"/>
        <w:spacing w:after="40"/>
      </w:pPr>
      <w:r>
        <w:rPr>
          <w:sz w:val="21"/>
        </w:rPr>
        <w:t>Led the legal workstream on a $260M divestiture of a non-core division, negotiating the purchase agreement, transition services and carve-out supply terms.</w:t>
      </w:r>
    </w:p>
    <w:p>
      <w:pPr>
        <w:pStyle w:val="ListBullet"/>
        <w:spacing w:after="40"/>
      </w:pPr>
      <w:r>
        <w:rPr>
          <w:sz w:val="21"/>
        </w:rPr>
        <w:t>Drafted 10-K, 10-Q and proxy disclosures with the CFO and outside securities counsel, and ran Section 16 reporting and insider trading compliance.</w:t>
      </w:r>
    </w:p>
    <w:p>
      <w:pPr>
        <w:pStyle w:val="ListBullet"/>
        <w:spacing w:after="40"/>
      </w:pPr>
      <w:r>
        <w:rPr>
          <w:sz w:val="21"/>
        </w:rPr>
        <w:t>Rolled out a global code of conduct and anti-corruption training to 5,800 employees in 11 countries, reaching 98% completion in the first cycle.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Corporate Counsel</w:t>
      </w:r>
      <w:r>
        <w:t>, Ardenmoor Industrial Group, Atlanta, GA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Negotiated supply, distribution and technology agreements worth $400M+ a year for 3 business units and procurement, standardizing key risk positions.</w:t>
      </w:r>
    </w:p>
    <w:p>
      <w:pPr>
        <w:pStyle w:val="ListBullet"/>
        <w:spacing w:after="40"/>
      </w:pPr>
      <w:r>
        <w:rPr>
          <w:sz w:val="21"/>
        </w:rPr>
        <w:t>Managed 60+ pending product liability, employment and commercial cases, setting reserves with finance and selecting and supervising outside counsel.</w:t>
      </w:r>
    </w:p>
    <w:p>
      <w:pPr>
        <w:pStyle w:val="ListBullet"/>
        <w:spacing w:after="40"/>
      </w:pPr>
      <w:r>
        <w:rPr>
          <w:sz w:val="21"/>
        </w:rPr>
        <w:t>Built standard terms and a contract approval matrix that cut average contract turnaround from 12 to 5 business days for sales and procurement.</w:t>
      </w:r>
    </w:p>
    <w:p>
      <w:pPr>
        <w:pStyle w:val="ListBullet"/>
        <w:spacing w:after="40"/>
      </w:pPr>
      <w:r>
        <w:rPr>
          <w:sz w:val="21"/>
        </w:rPr>
        <w:t>Advised HR on 40+ terminations, investigations and reductions in force a year, with no adverse EEOC or state agency findings over 3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Associate, Corporate and Securities</w:t>
      </w:r>
      <w:r>
        <w:t>, Sorrell Whitcomb LLP, Atlanta, GA</w:t>
      </w:r>
      <w:r>
        <w:rPr>
          <w:color w:val="5B6672"/>
        </w:rPr>
        <w:t xml:space="preserve">    2008-2014</w:t>
      </w:r>
    </w:p>
    <w:p>
      <w:pPr>
        <w:pStyle w:val="ListBullet"/>
        <w:spacing w:after="40"/>
      </w:pPr>
      <w:r>
        <w:rPr>
          <w:sz w:val="21"/>
        </w:rPr>
        <w:t>Represented buyers, sellers and lenders in 30+ middle-market M&amp;A and financing transactions for manufacturing, healthcare and technology clients.</w:t>
      </w:r>
    </w:p>
    <w:p>
      <w:pPr>
        <w:pStyle w:val="ListBullet"/>
        <w:spacing w:after="40"/>
      </w:pPr>
      <w:r>
        <w:rPr>
          <w:sz w:val="21"/>
        </w:rPr>
        <w:t>Drafted S-1 and S-3 registration statements for 2 IPOs and 4 follow-on offerings raising $900M for issuer and underwriter clients.</w:t>
      </w:r>
    </w:p>
    <w:p>
      <w:pPr>
        <w:pStyle w:val="ListBullet"/>
        <w:spacing w:after="40"/>
      </w:pPr>
      <w:r>
        <w:rPr>
          <w:sz w:val="21"/>
        </w:rPr>
        <w:t>Served as pro bono counsel to 12 small businesses and nonprofits through the firm's community development program, forming 5 new entities.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Juris Doctor (JD), Emory University School of Law, 2008</w:t>
      </w:r>
    </w:p>
    <w:p>
      <w:pPr>
        <w:spacing w:after="40" w:before="0"/>
      </w:pPr>
      <w:r>
        <w:rPr>
          <w:b w:val="0"/>
          <w:i w:val="0"/>
          <w:sz w:val="21"/>
        </w:rPr>
        <w:t>Bachelor of Arts, Political Science, Spelman College, 2005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Information Privacy Professional/United States (CIPP/US), IAPP,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Ironclad CLM | iManage | Onit legal spend management | Diligent Boards | Microsoft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BAR ADMISSIONS</w:t>
      </w:r>
    </w:p>
    <w:p>
      <w:pPr>
        <w:pStyle w:val="ListBullet"/>
        <w:spacing w:after="40"/>
      </w:pPr>
      <w:r>
        <w:rPr>
          <w:sz w:val="21"/>
        </w:rPr>
        <w:t>Georgia, 2008</w:t>
      </w:r>
    </w:p>
    <w:p>
      <w:pPr>
        <w:pStyle w:val="ListBullet"/>
        <w:spacing w:after="40"/>
      </w:pPr>
      <w:r>
        <w:rPr>
          <w:sz w:val="21"/>
        </w:rPr>
        <w:t>U.S. District Court for the Northern District of Georgia, 2009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COMMUNITY SERVICE</w:t>
      </w:r>
    </w:p>
    <w:p>
      <w:pPr>
        <w:pStyle w:val="ListBullet"/>
        <w:spacing w:after="40"/>
      </w:pPr>
      <w:r>
        <w:rPr>
          <w:sz w:val="21"/>
        </w:rPr>
        <w:t>Board member and pro bono committee chair, a community legal aid nonprofit serving 3,000 clients a year, 2019-Present</w:t>
      </w:r>
    </w:p>
    <w:p>
      <w:pPr>
        <w:pStyle w:val="ListBullet"/>
        <w:spacing w:after="40"/>
      </w:pPr>
      <w:r>
        <w:rPr>
          <w:sz w:val="21"/>
        </w:rPr>
        <w:t>Mentor to 15 law students and junior in-house lawyers through a regional diversity pipeline program, 2018-Present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AFFILIATIONS</w:t>
      </w:r>
    </w:p>
    <w:p>
      <w:pPr>
        <w:pStyle w:val="ListBullet"/>
        <w:spacing w:after="40"/>
      </w:pPr>
      <w:r>
        <w:rPr>
          <w:sz w:val="21"/>
        </w:rPr>
        <w:t>Panelist, Writing a Generative AI Use Policy for In-House Teams, regional Association of Corporate Counsel (ACC) chapter program, 2025</w:t>
      </w:r>
    </w:p>
    <w:p>
      <w:pPr>
        <w:pStyle w:val="ListBullet"/>
        <w:spacing w:after="40"/>
      </w:pPr>
      <w:r>
        <w:rPr>
          <w:sz w:val="21"/>
        </w:rPr>
        <w:t>Speaker, Carve-Out Divestitures: Lessons from the Deal Table, corporate counsel CLE, 2020</w:t>
      </w:r>
    </w:p>
    <w:p>
      <w:pPr>
        <w:pStyle w:val="ListBullet"/>
        <w:spacing w:after="40"/>
      </w:pPr>
      <w:r>
        <w:rPr>
          <w:sz w:val="21"/>
        </w:rPr>
        <w:t>Member, Association of Corporate Counsel (ACC) and State Bar of Georgia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Counsel and In-House Legal Leader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